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4A039" w14:textId="18775797" w:rsidR="00C17FA9" w:rsidRPr="00F07F58" w:rsidRDefault="0009207F" w:rsidP="00444E9B">
      <w:pPr>
        <w:spacing w:line="280" w:lineRule="exact"/>
        <w:jc w:val="center"/>
        <w:rPr>
          <w:rFonts w:ascii="Helvetica" w:hAnsi="Helvetica" w:cs="Arial"/>
          <w:b/>
          <w:sz w:val="24"/>
          <w:szCs w:val="24"/>
        </w:rPr>
      </w:pPr>
      <w:r w:rsidRPr="00F07F58">
        <w:rPr>
          <w:rFonts w:ascii="Helvetica" w:hAnsi="Helvetica" w:cs="Arial"/>
          <w:b/>
          <w:sz w:val="24"/>
          <w:szCs w:val="24"/>
        </w:rPr>
        <w:t>BAILING OUT THE PRIVATE SECTOR: VICKERS-ARMS</w:t>
      </w:r>
      <w:bookmarkStart w:id="0" w:name="_GoBack"/>
      <w:bookmarkEnd w:id="0"/>
      <w:r w:rsidRPr="00F07F58">
        <w:rPr>
          <w:rFonts w:ascii="Helvetica" w:hAnsi="Helvetica" w:cs="Arial"/>
          <w:b/>
          <w:sz w:val="24"/>
          <w:szCs w:val="24"/>
        </w:rPr>
        <w:t>TRONG FUSION</w:t>
      </w:r>
      <w:r w:rsidR="003611C9" w:rsidRPr="00F07F58">
        <w:rPr>
          <w:rFonts w:ascii="Helvetica" w:hAnsi="Helvetica" w:cs="Arial"/>
          <w:b/>
          <w:sz w:val="24"/>
          <w:szCs w:val="24"/>
        </w:rPr>
        <w:t xml:space="preserve"> S</w:t>
      </w:r>
      <w:r w:rsidRPr="00F07F58">
        <w:rPr>
          <w:rFonts w:ascii="Helvetica" w:hAnsi="Helvetica" w:cs="Arial"/>
          <w:b/>
          <w:sz w:val="24"/>
          <w:szCs w:val="24"/>
        </w:rPr>
        <w:t>CHEME</w:t>
      </w:r>
    </w:p>
    <w:p w14:paraId="2146C3EE" w14:textId="77777777" w:rsidR="00FC5837" w:rsidRPr="00F07F58" w:rsidRDefault="00FC5837" w:rsidP="00444E9B">
      <w:pPr>
        <w:spacing w:line="280" w:lineRule="exact"/>
        <w:rPr>
          <w:rFonts w:ascii="Helvetica" w:hAnsi="Helvetica" w:cs="Arial"/>
          <w:sz w:val="24"/>
          <w:szCs w:val="24"/>
        </w:rPr>
      </w:pPr>
    </w:p>
    <w:p w14:paraId="5179FAF1" w14:textId="008BC0F0" w:rsidR="00FC5837" w:rsidRPr="00F07F58" w:rsidRDefault="00FC5837" w:rsidP="00444E9B">
      <w:pPr>
        <w:spacing w:line="280" w:lineRule="exact"/>
        <w:rPr>
          <w:rFonts w:ascii="Helvetica" w:hAnsi="Helvetica" w:cs="Arial"/>
          <w:b/>
          <w:sz w:val="24"/>
          <w:szCs w:val="24"/>
        </w:rPr>
      </w:pPr>
      <w:r w:rsidRPr="00F07F58">
        <w:rPr>
          <w:rFonts w:ascii="Helvetica" w:hAnsi="Helvetica" w:cs="Arial"/>
          <w:b/>
          <w:sz w:val="24"/>
          <w:szCs w:val="24"/>
        </w:rPr>
        <w:t>It was June 1927. Two of Britain’s largest arms firms, Vickers and Armstrong, were operating at 40 percent capacity</w:t>
      </w:r>
      <w:r w:rsidR="005B6C2A" w:rsidRPr="00F07F58">
        <w:rPr>
          <w:rFonts w:ascii="Helvetica" w:hAnsi="Helvetica" w:cs="Arial"/>
          <w:b/>
          <w:sz w:val="24"/>
          <w:szCs w:val="24"/>
        </w:rPr>
        <w:t>,</w:t>
      </w:r>
      <w:r w:rsidRPr="00F07F58">
        <w:rPr>
          <w:rFonts w:ascii="Helvetica" w:hAnsi="Helvetica" w:cs="Arial"/>
          <w:b/>
          <w:sz w:val="24"/>
          <w:szCs w:val="24"/>
        </w:rPr>
        <w:t xml:space="preserve"> with heavy losses</w:t>
      </w:r>
      <w:r w:rsidR="005B6C2A" w:rsidRPr="00F07F58">
        <w:rPr>
          <w:rFonts w:ascii="Helvetica" w:hAnsi="Helvetica" w:cs="Arial"/>
          <w:b/>
          <w:sz w:val="24"/>
          <w:szCs w:val="24"/>
        </w:rPr>
        <w:t>,</w:t>
      </w:r>
      <w:r w:rsidRPr="00F07F58">
        <w:rPr>
          <w:rFonts w:ascii="Helvetica" w:hAnsi="Helvetica" w:cs="Arial"/>
          <w:b/>
          <w:sz w:val="24"/>
          <w:szCs w:val="24"/>
        </w:rPr>
        <w:t xml:space="preserve"> and Armstrong was in massive arrears to the Bank of England</w:t>
      </w:r>
      <w:r w:rsidRPr="00F07F58">
        <w:rPr>
          <w:rFonts w:ascii="Helvetica" w:hAnsi="Helvetica" w:cs="Arial"/>
          <w:sz w:val="24"/>
          <w:szCs w:val="24"/>
        </w:rPr>
        <w:t>.</w:t>
      </w:r>
      <w:r w:rsidRPr="00F07F58">
        <w:rPr>
          <w:rStyle w:val="FootnoteReference"/>
          <w:rFonts w:ascii="Helvetica" w:hAnsi="Helvetica" w:cs="Arial"/>
          <w:b/>
          <w:sz w:val="24"/>
          <w:szCs w:val="24"/>
        </w:rPr>
        <w:footnoteReference w:id="1"/>
      </w:r>
      <w:r w:rsidR="00273382" w:rsidRPr="00F07F58">
        <w:rPr>
          <w:rFonts w:ascii="Helvetica" w:hAnsi="Helvetica" w:cs="Arial"/>
          <w:sz w:val="24"/>
          <w:szCs w:val="24"/>
        </w:rPr>
        <w:t xml:space="preserve"> </w:t>
      </w:r>
      <w:r w:rsidR="00273382" w:rsidRPr="00F07F58">
        <w:rPr>
          <w:rFonts w:ascii="Helvetica" w:hAnsi="Helvetica" w:cs="Arial"/>
          <w:b/>
          <w:sz w:val="24"/>
          <w:szCs w:val="24"/>
        </w:rPr>
        <w:t>A merger scheme was pushed through at the taxpayers’ expense.</w:t>
      </w:r>
    </w:p>
    <w:p w14:paraId="5E275E26" w14:textId="77777777" w:rsidR="00FC5837" w:rsidRPr="00F07F58" w:rsidRDefault="00FC5837" w:rsidP="00444E9B">
      <w:pPr>
        <w:spacing w:line="280" w:lineRule="exact"/>
        <w:rPr>
          <w:rFonts w:ascii="Helvetica" w:hAnsi="Helvetica" w:cs="Arial"/>
          <w:b/>
          <w:sz w:val="24"/>
          <w:szCs w:val="24"/>
        </w:rPr>
      </w:pPr>
    </w:p>
    <w:p w14:paraId="32D735C3" w14:textId="05364B71" w:rsidR="00FC5837" w:rsidRPr="00F07F58" w:rsidRDefault="00FC5837" w:rsidP="00444E9B">
      <w:pPr>
        <w:spacing w:line="280" w:lineRule="exact"/>
        <w:rPr>
          <w:rFonts w:ascii="Helvetica" w:hAnsi="Helvetica" w:cs="Arial"/>
          <w:b/>
          <w:sz w:val="24"/>
          <w:szCs w:val="24"/>
        </w:rPr>
      </w:pPr>
      <w:r w:rsidRPr="00F07F58">
        <w:rPr>
          <w:rFonts w:ascii="Helvetica" w:hAnsi="Helvetica" w:cs="Arial"/>
          <w:b/>
          <w:sz w:val="24"/>
          <w:szCs w:val="24"/>
        </w:rPr>
        <w:t>A Forgone Conclusion</w:t>
      </w:r>
    </w:p>
    <w:p w14:paraId="73421FFD" w14:textId="6AAEBFA9" w:rsidR="0033366F" w:rsidRPr="00F07F58" w:rsidRDefault="005B6C2A" w:rsidP="00444E9B">
      <w:pPr>
        <w:spacing w:line="280" w:lineRule="exact"/>
        <w:rPr>
          <w:rFonts w:ascii="Helvetica" w:hAnsi="Helvetica" w:cs="Arial"/>
          <w:sz w:val="24"/>
          <w:szCs w:val="24"/>
        </w:rPr>
      </w:pPr>
      <w:r w:rsidRPr="00F07F58">
        <w:rPr>
          <w:rFonts w:ascii="Helvetica" w:hAnsi="Helvetica" w:cs="Arial"/>
          <w:sz w:val="24"/>
          <w:szCs w:val="24"/>
        </w:rPr>
        <w:t>Prime Minister</w:t>
      </w:r>
      <w:r w:rsidR="0033366F" w:rsidRPr="00F07F58">
        <w:rPr>
          <w:rFonts w:ascii="Helvetica" w:hAnsi="Helvetica" w:cs="Arial"/>
          <w:sz w:val="24"/>
          <w:szCs w:val="24"/>
        </w:rPr>
        <w:t xml:space="preserve"> Stanley Baldwin, was warned that these companies ‘might be driven out of business’ and ‘their resources might</w:t>
      </w:r>
      <w:r w:rsidR="00944E96" w:rsidRPr="00F07F58">
        <w:rPr>
          <w:rFonts w:ascii="Helvetica" w:hAnsi="Helvetica" w:cs="Arial"/>
          <w:sz w:val="24"/>
          <w:szCs w:val="24"/>
        </w:rPr>
        <w:t xml:space="preserve"> no longer be available to the g</w:t>
      </w:r>
      <w:r w:rsidR="0033366F" w:rsidRPr="00F07F58">
        <w:rPr>
          <w:rFonts w:ascii="Helvetica" w:hAnsi="Helvetica" w:cs="Arial"/>
          <w:sz w:val="24"/>
          <w:szCs w:val="24"/>
        </w:rPr>
        <w:t>overnment in an emergency.’ In response, an</w:t>
      </w:r>
      <w:r w:rsidR="0033366F" w:rsidRPr="00F07F58">
        <w:rPr>
          <w:rFonts w:ascii="Helvetica" w:hAnsi="Helvetica"/>
          <w:sz w:val="24"/>
          <w:szCs w:val="24"/>
        </w:rPr>
        <w:t xml:space="preserve"> </w:t>
      </w:r>
      <w:r w:rsidR="0033366F" w:rsidRPr="00F07F58">
        <w:rPr>
          <w:rFonts w:ascii="Helvetica" w:hAnsi="Helvetica" w:cs="Arial"/>
          <w:sz w:val="24"/>
          <w:szCs w:val="24"/>
        </w:rPr>
        <w:t>Armament Firms Committee was immediately formed which included Winston Churchill (Chancellor of the Exchequer), the Lord Privy Seal, the Secretary of State for War, the Secretary of State for Air, the First Lord of the Admiralty, the President of the Board of Trade and the Secretary to the Committee.</w:t>
      </w:r>
      <w:r w:rsidR="0033366F" w:rsidRPr="00F07F58">
        <w:rPr>
          <w:rStyle w:val="FootnoteReference"/>
          <w:rFonts w:ascii="Helvetica" w:hAnsi="Helvetica" w:cs="Arial"/>
          <w:sz w:val="24"/>
          <w:szCs w:val="24"/>
        </w:rPr>
        <w:footnoteReference w:id="2"/>
      </w:r>
      <w:r w:rsidR="0033366F" w:rsidRPr="00F07F58">
        <w:rPr>
          <w:rFonts w:ascii="Helvetica" w:hAnsi="Helvetica" w:cs="Arial"/>
          <w:sz w:val="24"/>
          <w:szCs w:val="24"/>
        </w:rPr>
        <w:t xml:space="preserve">  </w:t>
      </w:r>
    </w:p>
    <w:tbl>
      <w:tblPr>
        <w:tblStyle w:val="TableGrid"/>
        <w:tblW w:w="0" w:type="auto"/>
        <w:tblLook w:val="04A0" w:firstRow="1" w:lastRow="0" w:firstColumn="1" w:lastColumn="0" w:noHBand="0" w:noVBand="1"/>
      </w:tblPr>
      <w:tblGrid>
        <w:gridCol w:w="4621"/>
        <w:gridCol w:w="4621"/>
      </w:tblGrid>
      <w:tr w:rsidR="0033366F" w:rsidRPr="00F07F58" w14:paraId="2C269929" w14:textId="77777777" w:rsidTr="00502930">
        <w:tc>
          <w:tcPr>
            <w:tcW w:w="4621" w:type="dxa"/>
          </w:tcPr>
          <w:p w14:paraId="78148881"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Chairman</w:t>
            </w:r>
          </w:p>
        </w:tc>
        <w:tc>
          <w:tcPr>
            <w:tcW w:w="4621" w:type="dxa"/>
          </w:tcPr>
          <w:p w14:paraId="46C5C515" w14:textId="084AB51B" w:rsidR="0033366F" w:rsidRPr="00F07F58" w:rsidRDefault="0033366F" w:rsidP="00444E9B">
            <w:pPr>
              <w:spacing w:line="280" w:lineRule="exact"/>
              <w:rPr>
                <w:rFonts w:ascii="Helvetica" w:hAnsi="Helvetica"/>
                <w:sz w:val="24"/>
                <w:szCs w:val="24"/>
              </w:rPr>
            </w:pPr>
            <w:r w:rsidRPr="00F07F58">
              <w:rPr>
                <w:rFonts w:ascii="Helvetica" w:hAnsi="Helvetica"/>
                <w:b/>
                <w:sz w:val="24"/>
                <w:szCs w:val="24"/>
              </w:rPr>
              <w:t>Winston Churchill</w:t>
            </w:r>
            <w:r w:rsidRPr="00F07F58">
              <w:rPr>
                <w:rFonts w:ascii="Helvetica" w:hAnsi="Helvetica"/>
                <w:sz w:val="24"/>
                <w:szCs w:val="24"/>
              </w:rPr>
              <w:t>, Chancellor of the Exchequer. During the preceding war years he had held other cabinet posts as Minister of Munitions, Secretary of State for War and Secretary of State for Air.</w:t>
            </w:r>
          </w:p>
        </w:tc>
      </w:tr>
      <w:tr w:rsidR="0033366F" w:rsidRPr="00F07F58" w14:paraId="05482578" w14:textId="77777777" w:rsidTr="00502930">
        <w:tc>
          <w:tcPr>
            <w:tcW w:w="4621" w:type="dxa"/>
          </w:tcPr>
          <w:p w14:paraId="5FCE8E43"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Lord Privy Seal</w:t>
            </w:r>
          </w:p>
        </w:tc>
        <w:tc>
          <w:tcPr>
            <w:tcW w:w="4621" w:type="dxa"/>
          </w:tcPr>
          <w:p w14:paraId="12348E6A"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James Edward Hubert-Gascoyne, Lord Salisbury</w:t>
            </w:r>
          </w:p>
        </w:tc>
      </w:tr>
      <w:tr w:rsidR="0033366F" w:rsidRPr="00F07F58" w14:paraId="44B7B5E2" w14:textId="77777777" w:rsidTr="00502930">
        <w:tc>
          <w:tcPr>
            <w:tcW w:w="4621" w:type="dxa"/>
          </w:tcPr>
          <w:p w14:paraId="3BD21F78"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Secretary of State for War</w:t>
            </w:r>
          </w:p>
        </w:tc>
        <w:tc>
          <w:tcPr>
            <w:tcW w:w="4621" w:type="dxa"/>
          </w:tcPr>
          <w:p w14:paraId="070E2540" w14:textId="1E3C03C1" w:rsidR="0033366F" w:rsidRPr="00F07F58" w:rsidRDefault="0033366F" w:rsidP="00444E9B">
            <w:pPr>
              <w:spacing w:line="280" w:lineRule="exact"/>
              <w:rPr>
                <w:rFonts w:ascii="Helvetica" w:hAnsi="Helvetica"/>
                <w:sz w:val="24"/>
                <w:szCs w:val="24"/>
              </w:rPr>
            </w:pPr>
            <w:r w:rsidRPr="00F07F58">
              <w:rPr>
                <w:rFonts w:ascii="Helvetica" w:hAnsi="Helvetica"/>
                <w:b/>
                <w:sz w:val="24"/>
                <w:szCs w:val="24"/>
              </w:rPr>
              <w:t>Sir Lamington Worthington-Evans</w:t>
            </w:r>
            <w:r w:rsidRPr="00F07F58">
              <w:rPr>
                <w:rFonts w:ascii="Helvetica" w:hAnsi="Helvetica"/>
                <w:sz w:val="24"/>
                <w:szCs w:val="24"/>
              </w:rPr>
              <w:t>, who had been parliamentary Secretary to the Ministry of Munitions 1916-1918, he also had financial skills.</w:t>
            </w:r>
          </w:p>
        </w:tc>
      </w:tr>
      <w:tr w:rsidR="0033366F" w:rsidRPr="00F07F58" w14:paraId="297AC66B" w14:textId="77777777" w:rsidTr="00502930">
        <w:tc>
          <w:tcPr>
            <w:tcW w:w="4621" w:type="dxa"/>
          </w:tcPr>
          <w:p w14:paraId="56C96A54"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Secretary of State for Air</w:t>
            </w:r>
          </w:p>
        </w:tc>
        <w:tc>
          <w:tcPr>
            <w:tcW w:w="4621" w:type="dxa"/>
          </w:tcPr>
          <w:p w14:paraId="08010072"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Sir Samuel Hoare</w:t>
            </w:r>
          </w:p>
        </w:tc>
      </w:tr>
      <w:tr w:rsidR="0033366F" w:rsidRPr="00F07F58" w14:paraId="699AF15C" w14:textId="77777777" w:rsidTr="00502930">
        <w:tc>
          <w:tcPr>
            <w:tcW w:w="4621" w:type="dxa"/>
          </w:tcPr>
          <w:p w14:paraId="661AC8C4" w14:textId="77777777" w:rsidR="0033366F" w:rsidRPr="00F07F58" w:rsidRDefault="0033366F" w:rsidP="00444E9B">
            <w:pPr>
              <w:spacing w:line="280" w:lineRule="exact"/>
              <w:rPr>
                <w:rFonts w:ascii="Helvetica" w:hAnsi="Helvetica"/>
                <w:sz w:val="24"/>
                <w:szCs w:val="24"/>
              </w:rPr>
            </w:pPr>
            <w:r w:rsidRPr="00F07F58">
              <w:rPr>
                <w:rFonts w:ascii="Helvetica" w:hAnsi="Helvetica"/>
                <w:b/>
                <w:sz w:val="24"/>
                <w:szCs w:val="24"/>
              </w:rPr>
              <w:t>First Lord of the Admiralty</w:t>
            </w:r>
            <w:r w:rsidRPr="00F07F58">
              <w:rPr>
                <w:rFonts w:ascii="Helvetica" w:hAnsi="Helvetica"/>
                <w:sz w:val="24"/>
                <w:szCs w:val="24"/>
              </w:rPr>
              <w:t xml:space="preserve"> (or representative)</w:t>
            </w:r>
          </w:p>
        </w:tc>
        <w:tc>
          <w:tcPr>
            <w:tcW w:w="4621" w:type="dxa"/>
          </w:tcPr>
          <w:p w14:paraId="2C94F580" w14:textId="4F741824" w:rsidR="0033366F" w:rsidRPr="00F07F58" w:rsidRDefault="0033366F" w:rsidP="00444E9B">
            <w:pPr>
              <w:spacing w:line="280" w:lineRule="exact"/>
              <w:rPr>
                <w:rFonts w:ascii="Helvetica" w:hAnsi="Helvetica"/>
                <w:sz w:val="24"/>
                <w:szCs w:val="24"/>
              </w:rPr>
            </w:pPr>
            <w:r w:rsidRPr="00F07F58">
              <w:rPr>
                <w:rFonts w:ascii="Helvetica" w:hAnsi="Helvetica"/>
                <w:b/>
                <w:sz w:val="24"/>
                <w:szCs w:val="24"/>
              </w:rPr>
              <w:t>1</w:t>
            </w:r>
            <w:r w:rsidRPr="00F07F58">
              <w:rPr>
                <w:rFonts w:ascii="Helvetica" w:hAnsi="Helvetica"/>
                <w:b/>
                <w:sz w:val="24"/>
                <w:szCs w:val="24"/>
                <w:vertAlign w:val="superscript"/>
              </w:rPr>
              <w:t>st</w:t>
            </w:r>
            <w:r w:rsidRPr="00F07F58">
              <w:rPr>
                <w:rFonts w:ascii="Helvetica" w:hAnsi="Helvetica"/>
                <w:b/>
                <w:sz w:val="24"/>
                <w:szCs w:val="24"/>
              </w:rPr>
              <w:t xml:space="preserve"> Viscount William Clive Bridgeman</w:t>
            </w:r>
            <w:r w:rsidRPr="00F07F58">
              <w:rPr>
                <w:rFonts w:ascii="Helvetica" w:hAnsi="Helvetica"/>
                <w:sz w:val="24"/>
                <w:szCs w:val="24"/>
              </w:rPr>
              <w:t xml:space="preserve"> was one of Stanley Baldwin’s closest </w:t>
            </w:r>
            <w:proofErr w:type="gramStart"/>
            <w:r w:rsidRPr="00F07F58">
              <w:rPr>
                <w:rFonts w:ascii="Helvetica" w:hAnsi="Helvetica"/>
                <w:sz w:val="24"/>
                <w:szCs w:val="24"/>
              </w:rPr>
              <w:t>allies,</w:t>
            </w:r>
            <w:proofErr w:type="gramEnd"/>
            <w:r w:rsidRPr="00F07F58">
              <w:rPr>
                <w:rFonts w:ascii="Helvetica" w:hAnsi="Helvetica"/>
                <w:sz w:val="24"/>
                <w:szCs w:val="24"/>
              </w:rPr>
              <w:t xml:space="preserve"> he had a reputation for harshness and resolve.</w:t>
            </w:r>
          </w:p>
        </w:tc>
      </w:tr>
      <w:tr w:rsidR="0033366F" w:rsidRPr="00F07F58" w14:paraId="2CD1217E" w14:textId="77777777" w:rsidTr="00502930">
        <w:tblPrEx>
          <w:tblLook w:val="0000" w:firstRow="0" w:lastRow="0" w:firstColumn="0" w:lastColumn="0" w:noHBand="0" w:noVBand="0"/>
        </w:tblPrEx>
        <w:trPr>
          <w:trHeight w:val="351"/>
        </w:trPr>
        <w:tc>
          <w:tcPr>
            <w:tcW w:w="4621" w:type="dxa"/>
          </w:tcPr>
          <w:p w14:paraId="782A49A9"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The President of the Board of Trade</w:t>
            </w:r>
          </w:p>
        </w:tc>
        <w:tc>
          <w:tcPr>
            <w:tcW w:w="4621" w:type="dxa"/>
          </w:tcPr>
          <w:p w14:paraId="0958C02D" w14:textId="77777777" w:rsidR="0033366F" w:rsidRPr="00F07F58" w:rsidRDefault="0033366F" w:rsidP="00444E9B">
            <w:pPr>
              <w:spacing w:line="280" w:lineRule="exact"/>
              <w:rPr>
                <w:rFonts w:ascii="Helvetica" w:hAnsi="Helvetica"/>
                <w:sz w:val="24"/>
                <w:szCs w:val="24"/>
              </w:rPr>
            </w:pPr>
            <w:r w:rsidRPr="00F07F58">
              <w:rPr>
                <w:rFonts w:ascii="Helvetica" w:hAnsi="Helvetica"/>
                <w:b/>
                <w:sz w:val="24"/>
                <w:szCs w:val="24"/>
              </w:rPr>
              <w:t>Sir Philip Cunliffe-Lister</w:t>
            </w:r>
            <w:r w:rsidRPr="00F07F58">
              <w:rPr>
                <w:rFonts w:ascii="Helvetica" w:hAnsi="Helvetica"/>
                <w:sz w:val="24"/>
                <w:szCs w:val="24"/>
              </w:rPr>
              <w:t>, 1</w:t>
            </w:r>
            <w:r w:rsidRPr="00F07F58">
              <w:rPr>
                <w:rFonts w:ascii="Helvetica" w:hAnsi="Helvetica"/>
                <w:sz w:val="24"/>
                <w:szCs w:val="24"/>
                <w:vertAlign w:val="superscript"/>
              </w:rPr>
              <w:t>st</w:t>
            </w:r>
            <w:r w:rsidRPr="00F07F58">
              <w:rPr>
                <w:rFonts w:ascii="Helvetica" w:hAnsi="Helvetica"/>
                <w:sz w:val="24"/>
                <w:szCs w:val="24"/>
              </w:rPr>
              <w:t xml:space="preserve"> Earl of Swinton</w:t>
            </w:r>
          </w:p>
        </w:tc>
      </w:tr>
      <w:tr w:rsidR="0033366F" w:rsidRPr="00F07F58" w14:paraId="4B1CC098" w14:textId="77777777" w:rsidTr="00502930">
        <w:tblPrEx>
          <w:tblLook w:val="0000" w:firstRow="0" w:lastRow="0" w:firstColumn="0" w:lastColumn="0" w:noHBand="0" w:noVBand="0"/>
        </w:tblPrEx>
        <w:trPr>
          <w:trHeight w:val="402"/>
        </w:trPr>
        <w:tc>
          <w:tcPr>
            <w:tcW w:w="4621" w:type="dxa"/>
          </w:tcPr>
          <w:p w14:paraId="6DFE9984" w14:textId="77777777" w:rsidR="0033366F" w:rsidRPr="00F07F58" w:rsidRDefault="0033366F" w:rsidP="00444E9B">
            <w:pPr>
              <w:spacing w:line="280" w:lineRule="exact"/>
              <w:rPr>
                <w:rFonts w:ascii="Helvetica" w:hAnsi="Helvetica"/>
                <w:b/>
                <w:sz w:val="24"/>
                <w:szCs w:val="24"/>
              </w:rPr>
            </w:pPr>
            <w:r w:rsidRPr="00F07F58">
              <w:rPr>
                <w:rFonts w:ascii="Helvetica" w:hAnsi="Helvetica"/>
                <w:b/>
                <w:sz w:val="24"/>
                <w:szCs w:val="24"/>
              </w:rPr>
              <w:t>Secretary to the Committee</w:t>
            </w:r>
          </w:p>
        </w:tc>
        <w:tc>
          <w:tcPr>
            <w:tcW w:w="4621" w:type="dxa"/>
          </w:tcPr>
          <w:p w14:paraId="5B544660" w14:textId="77777777" w:rsidR="0033366F" w:rsidRPr="00F07F58" w:rsidRDefault="0033366F" w:rsidP="00444E9B">
            <w:pPr>
              <w:keepNext/>
              <w:spacing w:line="280" w:lineRule="exact"/>
              <w:rPr>
                <w:rFonts w:ascii="Helvetica" w:hAnsi="Helvetica"/>
                <w:b/>
                <w:sz w:val="24"/>
                <w:szCs w:val="24"/>
              </w:rPr>
            </w:pPr>
            <w:r w:rsidRPr="00F07F58">
              <w:rPr>
                <w:rFonts w:ascii="Helvetica" w:hAnsi="Helvetica"/>
                <w:b/>
                <w:sz w:val="24"/>
                <w:szCs w:val="24"/>
              </w:rPr>
              <w:t>R.B. Howorth</w:t>
            </w:r>
          </w:p>
        </w:tc>
      </w:tr>
    </w:tbl>
    <w:p w14:paraId="4AD2124A" w14:textId="4BE53D7A" w:rsidR="0033366F" w:rsidRPr="00F07F58" w:rsidRDefault="0033366F" w:rsidP="00444E9B">
      <w:pPr>
        <w:spacing w:line="280" w:lineRule="exact"/>
        <w:rPr>
          <w:rFonts w:ascii="Helvetica" w:hAnsi="Helvetica" w:cs="Arial"/>
          <w:b/>
          <w:sz w:val="24"/>
          <w:szCs w:val="24"/>
        </w:rPr>
      </w:pPr>
      <w:r w:rsidRPr="00F07F58">
        <w:rPr>
          <w:rFonts w:ascii="Helvetica" w:hAnsi="Helvetica" w:cs="Arial"/>
          <w:b/>
          <w:sz w:val="24"/>
          <w:szCs w:val="24"/>
        </w:rPr>
        <w:t>Armament's Firms Committee 13th July 1927</w:t>
      </w:r>
    </w:p>
    <w:p w14:paraId="6D8A0157" w14:textId="07E67E41" w:rsidR="0033366F" w:rsidRPr="00F07F58" w:rsidRDefault="0033366F" w:rsidP="00444E9B">
      <w:pPr>
        <w:spacing w:line="280" w:lineRule="exact"/>
        <w:rPr>
          <w:rFonts w:ascii="Helvetica" w:hAnsi="Helvetica"/>
          <w:sz w:val="24"/>
          <w:szCs w:val="24"/>
        </w:rPr>
      </w:pPr>
      <w:r w:rsidRPr="00F07F58">
        <w:rPr>
          <w:rFonts w:ascii="Helvetica" w:hAnsi="Helvetica" w:cs="Arial"/>
          <w:sz w:val="24"/>
          <w:szCs w:val="24"/>
        </w:rPr>
        <w:t>Each department within the Committee examined a plan to merge Vickers and Armstrong drawn up by William Plender</w:t>
      </w:r>
      <w:r w:rsidR="005B6C2A" w:rsidRPr="00F07F58">
        <w:rPr>
          <w:rFonts w:ascii="Helvetica" w:hAnsi="Helvetica" w:cs="Arial"/>
          <w:sz w:val="24"/>
          <w:szCs w:val="24"/>
        </w:rPr>
        <w:t>,</w:t>
      </w:r>
      <w:r w:rsidRPr="00F07F58">
        <w:rPr>
          <w:rFonts w:ascii="Helvetica" w:hAnsi="Helvetica" w:cs="Arial"/>
          <w:sz w:val="24"/>
          <w:szCs w:val="24"/>
        </w:rPr>
        <w:t xml:space="preserve"> accountant. </w:t>
      </w:r>
      <w:r w:rsidR="005B6C2A" w:rsidRPr="00F07F58">
        <w:rPr>
          <w:rFonts w:ascii="Helvetica" w:hAnsi="Helvetica" w:cs="Arial"/>
          <w:sz w:val="24"/>
          <w:szCs w:val="24"/>
        </w:rPr>
        <w:t xml:space="preserve"> In Plender’s scheme, both firms were to be issued with share capital - effectively a subsidy at the </w:t>
      </w:r>
      <w:r w:rsidR="005D0049" w:rsidRPr="00F07F58">
        <w:rPr>
          <w:rFonts w:ascii="Helvetica" w:hAnsi="Helvetica" w:cs="Arial"/>
          <w:sz w:val="24"/>
          <w:szCs w:val="24"/>
        </w:rPr>
        <w:t>taxpayers</w:t>
      </w:r>
      <w:r w:rsidR="005B6C2A" w:rsidRPr="00F07F58">
        <w:rPr>
          <w:rFonts w:ascii="Helvetica" w:hAnsi="Helvetica" w:cs="Arial"/>
          <w:sz w:val="24"/>
          <w:szCs w:val="24"/>
        </w:rPr>
        <w:t xml:space="preserve">’ </w:t>
      </w:r>
      <w:r w:rsidR="005B6C2A" w:rsidRPr="00F07F58">
        <w:rPr>
          <w:rFonts w:ascii="Helvetica" w:hAnsi="Helvetica" w:cs="Arial"/>
          <w:sz w:val="24"/>
          <w:szCs w:val="24"/>
        </w:rPr>
        <w:lastRenderedPageBreak/>
        <w:t xml:space="preserve">expense  - and retain some of their existing works and yards. </w:t>
      </w:r>
      <w:r w:rsidRPr="00F07F58">
        <w:rPr>
          <w:rFonts w:ascii="Helvetica" w:hAnsi="Helvetica" w:cs="Arial"/>
          <w:sz w:val="24"/>
          <w:szCs w:val="24"/>
        </w:rPr>
        <w:t xml:space="preserve">By the end of July the three service departments </w:t>
      </w:r>
      <w:r w:rsidR="005B6C2A" w:rsidRPr="00F07F58">
        <w:rPr>
          <w:rFonts w:ascii="Helvetica" w:hAnsi="Helvetica" w:cs="Arial"/>
          <w:sz w:val="24"/>
          <w:szCs w:val="24"/>
        </w:rPr>
        <w:t>opposed to</w:t>
      </w:r>
      <w:r w:rsidRPr="00F07F58">
        <w:rPr>
          <w:rFonts w:ascii="Helvetica" w:hAnsi="Helvetica" w:cs="Arial"/>
          <w:sz w:val="24"/>
          <w:szCs w:val="24"/>
        </w:rPr>
        <w:t xml:space="preserve"> Plender’s fusion</w:t>
      </w:r>
      <w:r w:rsidR="005B6C2A" w:rsidRPr="00F07F58">
        <w:rPr>
          <w:rFonts w:ascii="Helvetica" w:hAnsi="Helvetica" w:cs="Arial"/>
          <w:sz w:val="24"/>
          <w:szCs w:val="24"/>
        </w:rPr>
        <w:t xml:space="preserve"> proposal had given their </w:t>
      </w:r>
      <w:r w:rsidRPr="00F07F58">
        <w:rPr>
          <w:rFonts w:ascii="Helvetica" w:hAnsi="Helvetica" w:cs="Arial"/>
          <w:sz w:val="24"/>
          <w:szCs w:val="24"/>
        </w:rPr>
        <w:t>written responses. Churchill, however, did not appear to pay attention to them. A revealing note in the opening contents page of the Report’s Proceedings and Memoranda (a listing of all documents relating</w:t>
      </w:r>
      <w:r w:rsidR="005B6C2A" w:rsidRPr="00F07F58">
        <w:rPr>
          <w:rFonts w:ascii="Helvetica" w:hAnsi="Helvetica" w:cs="Arial"/>
          <w:sz w:val="24"/>
          <w:szCs w:val="24"/>
        </w:rPr>
        <w:t xml:space="preserve"> to the fusion scheme up to </w:t>
      </w:r>
      <w:r w:rsidRPr="00F07F58">
        <w:rPr>
          <w:rFonts w:ascii="Helvetica" w:hAnsi="Helvetica" w:cs="Arial"/>
          <w:sz w:val="24"/>
          <w:szCs w:val="24"/>
        </w:rPr>
        <w:t>29</w:t>
      </w:r>
      <w:r w:rsidRPr="00F07F58">
        <w:rPr>
          <w:rFonts w:ascii="Helvetica" w:hAnsi="Helvetica" w:cs="Arial"/>
          <w:sz w:val="24"/>
          <w:szCs w:val="24"/>
          <w:vertAlign w:val="superscript"/>
        </w:rPr>
        <w:t>th</w:t>
      </w:r>
      <w:r w:rsidRPr="00F07F58">
        <w:rPr>
          <w:rFonts w:ascii="Helvetica" w:hAnsi="Helvetica" w:cs="Arial"/>
          <w:sz w:val="24"/>
          <w:szCs w:val="24"/>
        </w:rPr>
        <w:t xml:space="preserve"> September 1927) stated that the ‘the Chairman [Churchill] decided, after considering the views of the departments concerned, and, owing to the emergency of the matter, to acquaint the Governor of the Bank of England with the views of the government.’</w:t>
      </w:r>
      <w:r w:rsidRPr="00F07F58">
        <w:rPr>
          <w:rStyle w:val="FootnoteReference"/>
          <w:rFonts w:ascii="Helvetica" w:hAnsi="Helvetica" w:cs="Arial"/>
          <w:sz w:val="24"/>
          <w:szCs w:val="24"/>
        </w:rPr>
        <w:footnoteReference w:id="3"/>
      </w:r>
      <w:r w:rsidRPr="00F07F58">
        <w:rPr>
          <w:rFonts w:ascii="Helvetica" w:hAnsi="Helvetica" w:cs="Arial"/>
          <w:sz w:val="24"/>
          <w:szCs w:val="24"/>
        </w:rPr>
        <w:t xml:space="preserve"> By answering on their behalf Churchill had taken it upon himself to agree to the merger proposals declaring that his views were not ‘inconsistent’ with theirs.</w:t>
      </w:r>
      <w:r w:rsidRPr="00F07F58">
        <w:rPr>
          <w:rFonts w:ascii="Helvetica" w:hAnsi="Helvetica"/>
          <w:b/>
          <w:sz w:val="24"/>
          <w:szCs w:val="24"/>
        </w:rPr>
        <w:t xml:space="preserve"> To describe the matter as an emergency in July 1927 was probably a red herring: the Bank of</w:t>
      </w:r>
      <w:r w:rsidR="00FC7B2C" w:rsidRPr="00F07F58">
        <w:rPr>
          <w:rFonts w:ascii="Helvetica" w:hAnsi="Helvetica"/>
          <w:b/>
          <w:sz w:val="24"/>
          <w:szCs w:val="24"/>
        </w:rPr>
        <w:t xml:space="preserve"> England had known of Armstrong’s</w:t>
      </w:r>
      <w:r w:rsidRPr="00F07F58">
        <w:rPr>
          <w:rFonts w:ascii="Helvetica" w:hAnsi="Helvetica"/>
          <w:b/>
          <w:sz w:val="24"/>
          <w:szCs w:val="24"/>
        </w:rPr>
        <w:t xml:space="preserve"> situation for a number of years as the company owed it £2.6 million (sterling).</w:t>
      </w:r>
      <w:r w:rsidRPr="00F07F58">
        <w:rPr>
          <w:rStyle w:val="FootnoteReference"/>
          <w:rFonts w:ascii="Helvetica" w:hAnsi="Helvetica"/>
          <w:sz w:val="24"/>
          <w:szCs w:val="24"/>
        </w:rPr>
        <w:footnoteReference w:id="4"/>
      </w:r>
      <w:r w:rsidRPr="00F07F58">
        <w:rPr>
          <w:rFonts w:ascii="Helvetica" w:hAnsi="Helvetica"/>
          <w:sz w:val="24"/>
          <w:szCs w:val="24"/>
        </w:rPr>
        <w:t xml:space="preserve"> </w:t>
      </w:r>
    </w:p>
    <w:p w14:paraId="3C672707" w14:textId="6BDED5B8" w:rsidR="007369D6" w:rsidRPr="00F07F58" w:rsidRDefault="0033366F" w:rsidP="00444E9B">
      <w:pPr>
        <w:pStyle w:val="NoSpacing"/>
        <w:spacing w:line="280" w:lineRule="exact"/>
        <w:rPr>
          <w:rFonts w:ascii="Helvetica" w:hAnsi="Helvetica"/>
          <w:sz w:val="24"/>
          <w:szCs w:val="24"/>
        </w:rPr>
      </w:pPr>
      <w:r w:rsidRPr="00F07F58">
        <w:rPr>
          <w:rFonts w:ascii="Helvetica" w:hAnsi="Helvetica"/>
          <w:sz w:val="24"/>
          <w:szCs w:val="24"/>
        </w:rPr>
        <w:t>The committee were apparently unable to meet before summer recess. As Churchill did not want the authors of the ‘scheme to be held up over the holidays,’ Churchill’s letter to the Governor of the Bank of England (Sir Montagu Collet Norman) stated that they were ‘anxious to encourage amalgamations such as that proposed’.</w:t>
      </w:r>
      <w:r w:rsidRPr="00F07F58">
        <w:rPr>
          <w:rStyle w:val="FootnoteReference"/>
          <w:rFonts w:ascii="Helvetica" w:hAnsi="Helvetica" w:cs="Arial"/>
          <w:sz w:val="24"/>
          <w:szCs w:val="24"/>
        </w:rPr>
        <w:footnoteReference w:id="5"/>
      </w:r>
      <w:r w:rsidRPr="00F07F58">
        <w:rPr>
          <w:rFonts w:ascii="Helvetica" w:hAnsi="Helvetica"/>
          <w:sz w:val="24"/>
          <w:szCs w:val="24"/>
        </w:rPr>
        <w:t xml:space="preserve"> </w:t>
      </w:r>
      <w:r w:rsidR="005B6C2A" w:rsidRPr="00F07F58">
        <w:rPr>
          <w:rFonts w:ascii="Helvetica" w:hAnsi="Helvetica"/>
          <w:sz w:val="24"/>
          <w:szCs w:val="24"/>
        </w:rPr>
        <w:t>E</w:t>
      </w:r>
      <w:r w:rsidRPr="00F07F58">
        <w:rPr>
          <w:rFonts w:ascii="Helvetica" w:hAnsi="Helvetica"/>
          <w:sz w:val="24"/>
          <w:szCs w:val="24"/>
        </w:rPr>
        <w:t xml:space="preserve">ven though the other government service departments had not agreed to Plender’s fusion scheme. This meant that </w:t>
      </w:r>
      <w:proofErr w:type="gramStart"/>
      <w:r w:rsidRPr="00F07F58">
        <w:rPr>
          <w:rFonts w:ascii="Helvetica" w:hAnsi="Helvetica"/>
          <w:sz w:val="24"/>
          <w:szCs w:val="24"/>
        </w:rPr>
        <w:t>alternative proposals</w:t>
      </w:r>
      <w:r w:rsidR="005B6C2A" w:rsidRPr="00F07F58">
        <w:rPr>
          <w:rFonts w:ascii="Helvetica" w:hAnsi="Helvetica"/>
          <w:sz w:val="24"/>
          <w:szCs w:val="24"/>
        </w:rPr>
        <w:t>,</w:t>
      </w:r>
      <w:r w:rsidRPr="00F07F58">
        <w:rPr>
          <w:rFonts w:ascii="Helvetica" w:hAnsi="Helvetica"/>
          <w:sz w:val="24"/>
          <w:szCs w:val="24"/>
        </w:rPr>
        <w:t xml:space="preserve"> such as Vickers and Armstrong renting works retained by the government</w:t>
      </w:r>
      <w:r w:rsidR="005B6C2A" w:rsidRPr="00F07F58">
        <w:rPr>
          <w:rFonts w:ascii="Helvetica" w:hAnsi="Helvetica"/>
          <w:sz w:val="24"/>
          <w:szCs w:val="24"/>
        </w:rPr>
        <w:t>,</w:t>
      </w:r>
      <w:r w:rsidRPr="00F07F58">
        <w:rPr>
          <w:rFonts w:ascii="Helvetica" w:hAnsi="Helvetica"/>
          <w:sz w:val="24"/>
          <w:szCs w:val="24"/>
        </w:rPr>
        <w:t xml:space="preserve"> were rejected by Churchil</w:t>
      </w:r>
      <w:r w:rsidR="007369D6" w:rsidRPr="00F07F58">
        <w:rPr>
          <w:rFonts w:ascii="Helvetica" w:hAnsi="Helvetica"/>
          <w:sz w:val="24"/>
          <w:szCs w:val="24"/>
        </w:rPr>
        <w:t>l</w:t>
      </w:r>
      <w:proofErr w:type="gramEnd"/>
      <w:r w:rsidR="007369D6" w:rsidRPr="00F07F58">
        <w:rPr>
          <w:rFonts w:ascii="Helvetica" w:hAnsi="Helvetica"/>
          <w:sz w:val="24"/>
          <w:szCs w:val="24"/>
        </w:rPr>
        <w:t xml:space="preserve">. </w:t>
      </w:r>
    </w:p>
    <w:p w14:paraId="2F0BB7A5" w14:textId="77777777" w:rsidR="007369D6" w:rsidRPr="00F07F58" w:rsidRDefault="007369D6" w:rsidP="00444E9B">
      <w:pPr>
        <w:pStyle w:val="NoSpacing"/>
        <w:spacing w:line="280" w:lineRule="exact"/>
        <w:rPr>
          <w:rFonts w:ascii="Helvetica" w:hAnsi="Helvetica"/>
          <w:sz w:val="24"/>
          <w:szCs w:val="24"/>
        </w:rPr>
      </w:pPr>
    </w:p>
    <w:p w14:paraId="19B7B518" w14:textId="447FB312" w:rsidR="0033366F" w:rsidRPr="00F07F58" w:rsidRDefault="0033366F" w:rsidP="00444E9B">
      <w:pPr>
        <w:pStyle w:val="NoSpacing"/>
        <w:spacing w:line="280" w:lineRule="exact"/>
        <w:rPr>
          <w:rFonts w:ascii="Helvetica" w:hAnsi="Helvetica"/>
          <w:sz w:val="24"/>
          <w:szCs w:val="24"/>
        </w:rPr>
      </w:pPr>
      <w:r w:rsidRPr="00F07F58">
        <w:rPr>
          <w:rFonts w:ascii="Helvetica" w:hAnsi="Helvetica"/>
          <w:sz w:val="24"/>
          <w:szCs w:val="24"/>
        </w:rPr>
        <w:t>The Admiralty thought that the only essential sites owned by</w:t>
      </w:r>
      <w:r w:rsidR="005B6C2A" w:rsidRPr="00F07F58">
        <w:rPr>
          <w:rFonts w:ascii="Helvetica" w:hAnsi="Helvetica"/>
          <w:sz w:val="24"/>
          <w:szCs w:val="24"/>
        </w:rPr>
        <w:t xml:space="preserve"> Armstrong were the Elswick Ord</w:t>
      </w:r>
      <w:r w:rsidRPr="00F07F58">
        <w:rPr>
          <w:rFonts w:ascii="Helvetica" w:hAnsi="Helvetica"/>
          <w:sz w:val="24"/>
          <w:szCs w:val="24"/>
        </w:rPr>
        <w:t>nance works at Newcastle and the Thames Ammunition works at Erith; the facts as presented to them did not warrant the proposed merger. Instead, the Admiralty proposed that Vickers buy the aforementioned sites,</w:t>
      </w:r>
      <w:r w:rsidRPr="00F07F58">
        <w:rPr>
          <w:rStyle w:val="FootnoteReference"/>
          <w:rFonts w:ascii="Helvetica" w:hAnsi="Helvetica" w:cs="Arial"/>
          <w:sz w:val="24"/>
          <w:szCs w:val="24"/>
        </w:rPr>
        <w:footnoteReference w:id="6"/>
      </w:r>
      <w:r w:rsidRPr="00F07F58">
        <w:rPr>
          <w:rFonts w:ascii="Helvetica" w:hAnsi="Helvetica"/>
          <w:sz w:val="24"/>
          <w:szCs w:val="24"/>
        </w:rPr>
        <w:t xml:space="preserve"> since Vickers’ finances had been effectively rationalised by accountants Plender and Jenkinson in previous years. </w:t>
      </w:r>
    </w:p>
    <w:p w14:paraId="14F5E5D6" w14:textId="77777777" w:rsidR="0033366F" w:rsidRPr="00F07F58" w:rsidRDefault="0033366F" w:rsidP="00444E9B">
      <w:pPr>
        <w:pStyle w:val="NoSpacing"/>
        <w:spacing w:line="280" w:lineRule="exact"/>
        <w:rPr>
          <w:rFonts w:ascii="Helvetica" w:hAnsi="Helvetica"/>
          <w:sz w:val="24"/>
          <w:szCs w:val="24"/>
        </w:rPr>
      </w:pPr>
    </w:p>
    <w:p w14:paraId="3CB51455" w14:textId="1123E4DF" w:rsidR="0033366F" w:rsidRPr="00F07F58" w:rsidRDefault="0033366F" w:rsidP="00444E9B">
      <w:pPr>
        <w:spacing w:line="280" w:lineRule="exact"/>
        <w:rPr>
          <w:rFonts w:ascii="Helvetica" w:hAnsi="Helvetica" w:cs="Arial"/>
          <w:sz w:val="24"/>
          <w:szCs w:val="24"/>
        </w:rPr>
      </w:pPr>
      <w:r w:rsidRPr="00F07F58">
        <w:rPr>
          <w:rFonts w:ascii="Helvetica" w:hAnsi="Helvetica" w:cs="Arial"/>
          <w:sz w:val="24"/>
          <w:szCs w:val="24"/>
        </w:rPr>
        <w:t xml:space="preserve">A note by the Secretary of State for Air (25th July) stated that Vickers and Armstrong were only ‘two out of some 17 firms which manufacture aircraft for the Royal </w:t>
      </w:r>
      <w:r w:rsidR="005D0049" w:rsidRPr="00F07F58">
        <w:rPr>
          <w:rFonts w:ascii="Helvetica" w:hAnsi="Helvetica" w:cs="Arial"/>
          <w:sz w:val="24"/>
          <w:szCs w:val="24"/>
        </w:rPr>
        <w:t>Air force</w:t>
      </w:r>
      <w:r w:rsidRPr="00F07F58">
        <w:rPr>
          <w:rFonts w:ascii="Helvetica" w:hAnsi="Helvetica" w:cs="Arial"/>
          <w:sz w:val="24"/>
          <w:szCs w:val="24"/>
        </w:rPr>
        <w:t>.’</w:t>
      </w:r>
      <w:r w:rsidRPr="00F07F58">
        <w:rPr>
          <w:rStyle w:val="FootnoteReference"/>
          <w:rFonts w:ascii="Helvetica" w:hAnsi="Helvetica" w:cs="Arial"/>
          <w:sz w:val="24"/>
          <w:szCs w:val="24"/>
        </w:rPr>
        <w:footnoteReference w:id="7"/>
      </w:r>
      <w:r w:rsidRPr="00F07F58">
        <w:rPr>
          <w:rFonts w:ascii="Helvetica" w:hAnsi="Helvetica" w:cs="Arial"/>
          <w:sz w:val="24"/>
          <w:szCs w:val="24"/>
        </w:rPr>
        <w:t xml:space="preserve"> He, like his Admiralty and Secretary for War counterparts, were wary of setting precedents for other arms firms and preferred a definite program of orders </w:t>
      </w:r>
      <w:proofErr w:type="gramStart"/>
      <w:r w:rsidRPr="00F07F58">
        <w:rPr>
          <w:rFonts w:ascii="Helvetica" w:hAnsi="Helvetica" w:cs="Arial"/>
          <w:sz w:val="24"/>
          <w:szCs w:val="24"/>
        </w:rPr>
        <w:t>over</w:t>
      </w:r>
      <w:proofErr w:type="gramEnd"/>
      <w:r w:rsidRPr="00F07F58">
        <w:rPr>
          <w:rFonts w:ascii="Helvetica" w:hAnsi="Helvetica" w:cs="Arial"/>
          <w:sz w:val="24"/>
          <w:szCs w:val="24"/>
        </w:rPr>
        <w:t xml:space="preserve"> a number of years. But the necessary contingency plans to keep the armaments staff efficient in the ‘absence of orders’ had not been drawn up.  </w:t>
      </w:r>
    </w:p>
    <w:p w14:paraId="09D9C2BF" w14:textId="35964E8A" w:rsidR="0033366F" w:rsidRPr="00F07F58" w:rsidRDefault="0033366F" w:rsidP="00444E9B">
      <w:pPr>
        <w:spacing w:line="280" w:lineRule="exact"/>
        <w:rPr>
          <w:rFonts w:ascii="Helvetica" w:hAnsi="Helvetica" w:cs="Arial"/>
          <w:sz w:val="24"/>
          <w:szCs w:val="24"/>
        </w:rPr>
      </w:pPr>
      <w:r w:rsidRPr="00F07F58">
        <w:rPr>
          <w:rFonts w:ascii="Helvetica" w:hAnsi="Helvetica" w:cs="Arial"/>
          <w:sz w:val="24"/>
          <w:szCs w:val="24"/>
        </w:rPr>
        <w:t xml:space="preserve">The service departments viewed Plender’s merger proposal as a subsidy to Vickers and Armstrong but Churchill ignored this and their lack of support, he was following Plender’s memoranda (published on the 22nd June) to the letter. Before the Armaments Committee had even been formed Plender had stated the only way </w:t>
      </w:r>
      <w:r w:rsidRPr="00F07F58">
        <w:rPr>
          <w:rFonts w:ascii="Helvetica" w:hAnsi="Helvetica" w:cs="Arial"/>
          <w:sz w:val="24"/>
          <w:szCs w:val="24"/>
        </w:rPr>
        <w:lastRenderedPageBreak/>
        <w:t>forward: ‘it cannot be too strongly emphasised that Messrs Vickers and Armstrong are primarily manufacturers of armaments and must continue to be so unless the vast skill and experience attained is to be lost to this country. In the opinion of both firms and their advisers, fusion coupled with t</w:t>
      </w:r>
      <w:r w:rsidR="00944E96" w:rsidRPr="00F07F58">
        <w:rPr>
          <w:rFonts w:ascii="Helvetica" w:hAnsi="Helvetica" w:cs="Arial"/>
          <w:sz w:val="24"/>
          <w:szCs w:val="24"/>
        </w:rPr>
        <w:t>he co-operation of the British g</w:t>
      </w:r>
      <w:r w:rsidRPr="00F07F58">
        <w:rPr>
          <w:rFonts w:ascii="Helvetica" w:hAnsi="Helvetica" w:cs="Arial"/>
          <w:sz w:val="24"/>
          <w:szCs w:val="24"/>
        </w:rPr>
        <w:t>overnment, somewhat along the lines suggested in this memorandum, is the only solution.’</w:t>
      </w:r>
      <w:r w:rsidRPr="00F07F58">
        <w:rPr>
          <w:rStyle w:val="FootnoteReference"/>
          <w:rFonts w:ascii="Helvetica" w:hAnsi="Helvetica" w:cs="Arial"/>
          <w:sz w:val="24"/>
          <w:szCs w:val="24"/>
        </w:rPr>
        <w:footnoteReference w:id="8"/>
      </w:r>
      <w:r w:rsidRPr="00F07F58">
        <w:rPr>
          <w:rFonts w:ascii="Helvetica" w:hAnsi="Helvetica" w:cs="Arial"/>
          <w:sz w:val="24"/>
          <w:szCs w:val="24"/>
        </w:rPr>
        <w:t xml:space="preserve">  The merger was a shareholders’ and accountant’s forgone conclusion.</w:t>
      </w:r>
    </w:p>
    <w:p w14:paraId="0210BFE7" w14:textId="77777777" w:rsidR="0033366F" w:rsidRPr="00F07F58" w:rsidRDefault="0033366F" w:rsidP="00444E9B">
      <w:pPr>
        <w:spacing w:line="280" w:lineRule="exact"/>
        <w:rPr>
          <w:rFonts w:ascii="Helvetica" w:hAnsi="Helvetica" w:cs="Arial"/>
          <w:b/>
          <w:sz w:val="24"/>
          <w:szCs w:val="24"/>
        </w:rPr>
      </w:pPr>
      <w:r w:rsidRPr="00F07F58">
        <w:rPr>
          <w:rFonts w:ascii="Helvetica" w:hAnsi="Helvetica" w:cs="Arial"/>
          <w:b/>
          <w:sz w:val="24"/>
          <w:szCs w:val="24"/>
        </w:rPr>
        <w:t>How were the companies valued and shares issued?</w:t>
      </w:r>
    </w:p>
    <w:p w14:paraId="579EC254" w14:textId="3E95CA88" w:rsidR="0033366F" w:rsidRPr="00F07F58" w:rsidRDefault="0033366F" w:rsidP="00444E9B">
      <w:pPr>
        <w:spacing w:line="280" w:lineRule="exact"/>
        <w:rPr>
          <w:rFonts w:ascii="Helvetica" w:hAnsi="Helvetica" w:cs="Arial"/>
          <w:b/>
          <w:sz w:val="24"/>
          <w:szCs w:val="24"/>
        </w:rPr>
      </w:pPr>
      <w:r w:rsidRPr="00F07F58">
        <w:rPr>
          <w:rFonts w:ascii="Helvetica" w:hAnsi="Helvetica" w:cs="Arial"/>
          <w:sz w:val="24"/>
          <w:szCs w:val="24"/>
        </w:rPr>
        <w:t xml:space="preserve">The valuations of both companies’ fixed assets were taken by looking at their land, plant and machinery, buildings, loose tools, fixtures and fittings, residential properties and the maintenance of plants, works and tools. </w:t>
      </w:r>
      <w:r w:rsidR="005B6C2A" w:rsidRPr="00F07F58">
        <w:rPr>
          <w:rFonts w:ascii="Helvetica" w:hAnsi="Helvetica" w:cs="Arial"/>
          <w:sz w:val="24"/>
          <w:szCs w:val="24"/>
        </w:rPr>
        <w:t>T</w:t>
      </w:r>
      <w:r w:rsidRPr="00F07F58">
        <w:rPr>
          <w:rFonts w:ascii="Helvetica" w:hAnsi="Helvetica" w:cs="Arial"/>
          <w:sz w:val="24"/>
          <w:szCs w:val="24"/>
        </w:rPr>
        <w:t xml:space="preserve">hey applied a heady concoction of </w:t>
      </w:r>
      <w:r w:rsidR="005B6C2A" w:rsidRPr="00F07F58">
        <w:rPr>
          <w:rFonts w:ascii="Helvetica" w:hAnsi="Helvetica" w:cs="Arial"/>
          <w:sz w:val="24"/>
          <w:szCs w:val="24"/>
        </w:rPr>
        <w:t>figures and accounts</w:t>
      </w:r>
      <w:r w:rsidRPr="00F07F58">
        <w:rPr>
          <w:rFonts w:ascii="Helvetica" w:hAnsi="Helvetica" w:cs="Arial"/>
          <w:sz w:val="24"/>
          <w:szCs w:val="24"/>
        </w:rPr>
        <w:t xml:space="preserve"> from vario</w:t>
      </w:r>
      <w:r w:rsidR="005B6C2A" w:rsidRPr="00F07F58">
        <w:rPr>
          <w:rFonts w:ascii="Helvetica" w:hAnsi="Helvetica" w:cs="Arial"/>
          <w:sz w:val="24"/>
          <w:szCs w:val="24"/>
        </w:rPr>
        <w:t>us dates and depreciation rates. F</w:t>
      </w:r>
      <w:r w:rsidRPr="00F07F58">
        <w:rPr>
          <w:rFonts w:ascii="Helvetica" w:hAnsi="Helvetica" w:cs="Arial"/>
          <w:sz w:val="24"/>
          <w:szCs w:val="24"/>
        </w:rPr>
        <w:t>or example</w:t>
      </w:r>
      <w:r w:rsidR="005B6C2A" w:rsidRPr="00F07F58">
        <w:rPr>
          <w:rFonts w:ascii="Helvetica" w:hAnsi="Helvetica" w:cs="Arial"/>
          <w:sz w:val="24"/>
          <w:szCs w:val="24"/>
        </w:rPr>
        <w:t>,</w:t>
      </w:r>
      <w:r w:rsidRPr="00F07F58">
        <w:rPr>
          <w:rFonts w:ascii="Helvetica" w:hAnsi="Helvetica" w:cs="Arial"/>
          <w:sz w:val="24"/>
          <w:szCs w:val="24"/>
        </w:rPr>
        <w:t xml:space="preserve"> for plant and machinery Armstrong was assigned their 1920 valuation with a seven and a half percent depreciation rate up to December 1926, while twelve year old figures were employed for Vickers by using their 1914 valuation for the company with a 15 percent depreciation rate up to 1919 and a seven and a half percent depreciation rate thereafter.</w:t>
      </w:r>
      <w:r w:rsidRPr="00F07F58">
        <w:rPr>
          <w:rStyle w:val="FootnoteReference"/>
          <w:rFonts w:ascii="Helvetica" w:hAnsi="Helvetica" w:cs="Arial"/>
          <w:sz w:val="24"/>
          <w:szCs w:val="24"/>
        </w:rPr>
        <w:footnoteReference w:id="9"/>
      </w:r>
      <w:r w:rsidRPr="00F07F58">
        <w:rPr>
          <w:rFonts w:ascii="Helvetica" w:hAnsi="Helvetica" w:cs="Arial"/>
          <w:sz w:val="24"/>
          <w:szCs w:val="24"/>
        </w:rPr>
        <w:t xml:space="preserve"> Once the total fixed assets for each company (excluding goodwill) had been calculated and the deficiency in earnings had been subtracted Vickers was valued at £4,081,700 and Armstrong was valued at £3,421,600.</w:t>
      </w:r>
      <w:r w:rsidRPr="00F07F58">
        <w:rPr>
          <w:rStyle w:val="FootnoteReference"/>
          <w:rFonts w:ascii="Helvetica" w:hAnsi="Helvetica" w:cs="Arial"/>
          <w:sz w:val="24"/>
          <w:szCs w:val="24"/>
        </w:rPr>
        <w:footnoteReference w:id="10"/>
      </w:r>
      <w:r w:rsidRPr="00F07F58">
        <w:rPr>
          <w:rFonts w:ascii="Helvetica" w:hAnsi="Helvetica" w:cs="Arial"/>
          <w:sz w:val="24"/>
          <w:szCs w:val="24"/>
        </w:rPr>
        <w:t xml:space="preserve"> It is probable that the accountants’ method of valuation concealed the fact that Armstrong was in debt to the Bank of England. From the 1</w:t>
      </w:r>
      <w:r w:rsidRPr="00F07F58">
        <w:rPr>
          <w:rFonts w:ascii="Helvetica" w:hAnsi="Helvetica" w:cs="Arial"/>
          <w:sz w:val="24"/>
          <w:szCs w:val="24"/>
          <w:vertAlign w:val="superscript"/>
        </w:rPr>
        <w:t>st</w:t>
      </w:r>
      <w:r w:rsidRPr="00F07F58">
        <w:rPr>
          <w:rFonts w:ascii="Helvetica" w:hAnsi="Helvetica" w:cs="Arial"/>
          <w:sz w:val="24"/>
          <w:szCs w:val="24"/>
        </w:rPr>
        <w:t xml:space="preserve"> January 1928, the newly merged companies would not take on the debts owed by both of them as vendor companies, the debts were to be discharged and paid by Vickers and Armstrong respectively. </w:t>
      </w:r>
    </w:p>
    <w:p w14:paraId="00920051" w14:textId="3FBD26FE" w:rsidR="0033366F" w:rsidRPr="00F07F58" w:rsidRDefault="0033366F" w:rsidP="00444E9B">
      <w:pPr>
        <w:spacing w:line="280" w:lineRule="exact"/>
        <w:rPr>
          <w:rFonts w:ascii="Helvetica" w:hAnsi="Helvetica" w:cs="Arial"/>
          <w:sz w:val="24"/>
          <w:szCs w:val="24"/>
        </w:rPr>
      </w:pPr>
      <w:r w:rsidRPr="00F07F58">
        <w:rPr>
          <w:rFonts w:ascii="Helvetica" w:hAnsi="Helvetica" w:cs="Arial"/>
          <w:sz w:val="24"/>
          <w:szCs w:val="24"/>
        </w:rPr>
        <w:t xml:space="preserve">The purchase price for each company was represented as shares for their fixed </w:t>
      </w:r>
      <w:proofErr w:type="gramStart"/>
      <w:r w:rsidRPr="00F07F58">
        <w:rPr>
          <w:rFonts w:ascii="Helvetica" w:hAnsi="Helvetica" w:cs="Arial"/>
          <w:sz w:val="24"/>
          <w:szCs w:val="24"/>
        </w:rPr>
        <w:t>assets which were issued as fully</w:t>
      </w:r>
      <w:proofErr w:type="gramEnd"/>
      <w:r w:rsidRPr="00F07F58">
        <w:rPr>
          <w:rFonts w:ascii="Helvetica" w:hAnsi="Helvetica" w:cs="Arial"/>
          <w:sz w:val="24"/>
          <w:szCs w:val="24"/>
        </w:rPr>
        <w:t xml:space="preserve"> paid up: £8.5 million went to Vickers (£2 million in A preference shares, £1.5 million in B preference shares and £5 million in ordinary shares). £4.5 million shares were issued to Armstrong (£2.5 million as B preference shares and £2 million as ordinary shares).</w:t>
      </w:r>
      <w:r w:rsidRPr="00F07F58">
        <w:rPr>
          <w:rStyle w:val="FootnoteReference"/>
          <w:rFonts w:ascii="Helvetica" w:hAnsi="Helvetica" w:cs="Arial"/>
          <w:sz w:val="24"/>
          <w:szCs w:val="24"/>
        </w:rPr>
        <w:footnoteReference w:id="11"/>
      </w:r>
      <w:r w:rsidRPr="00F07F58">
        <w:rPr>
          <w:rFonts w:ascii="Helvetica" w:hAnsi="Helvetica" w:cs="Arial"/>
          <w:sz w:val="24"/>
          <w:szCs w:val="24"/>
        </w:rPr>
        <w:t xml:space="preserve">  The division of shares issued to each was based upon the </w:t>
      </w:r>
      <w:r w:rsidRPr="00F07F58">
        <w:rPr>
          <w:rFonts w:ascii="Helvetica" w:hAnsi="Helvetica" w:cs="Arial"/>
          <w:i/>
          <w:sz w:val="24"/>
          <w:szCs w:val="24"/>
        </w:rPr>
        <w:t>potential</w:t>
      </w:r>
      <w:r w:rsidRPr="00F07F58">
        <w:rPr>
          <w:rFonts w:ascii="Helvetica" w:hAnsi="Helvetica" w:cs="Arial"/>
          <w:sz w:val="24"/>
          <w:szCs w:val="24"/>
        </w:rPr>
        <w:t xml:space="preserve"> earning capacity of Vickers compared to Armstrong, so the estimates were not </w:t>
      </w:r>
      <w:r w:rsidR="005B6C2A" w:rsidRPr="00F07F58">
        <w:rPr>
          <w:rFonts w:ascii="Helvetica" w:hAnsi="Helvetica" w:cs="Arial"/>
          <w:sz w:val="24"/>
          <w:szCs w:val="24"/>
        </w:rPr>
        <w:t xml:space="preserve">really </w:t>
      </w:r>
      <w:r w:rsidRPr="00F07F58">
        <w:rPr>
          <w:rFonts w:ascii="Helvetica" w:hAnsi="Helvetica" w:cs="Arial"/>
          <w:sz w:val="24"/>
          <w:szCs w:val="24"/>
        </w:rPr>
        <w:t>based on reality.</w:t>
      </w:r>
      <w:r w:rsidRPr="00F07F58">
        <w:rPr>
          <w:rStyle w:val="FootnoteReference"/>
          <w:rFonts w:ascii="Helvetica" w:hAnsi="Helvetica" w:cs="Arial"/>
          <w:sz w:val="24"/>
          <w:szCs w:val="24"/>
        </w:rPr>
        <w:footnoteReference w:id="12"/>
      </w:r>
      <w:r w:rsidRPr="00F07F58">
        <w:rPr>
          <w:rFonts w:ascii="Helvetica" w:hAnsi="Helvetica" w:cs="Arial"/>
          <w:b/>
          <w:sz w:val="24"/>
          <w:szCs w:val="24"/>
        </w:rPr>
        <w:t xml:space="preserve">  </w:t>
      </w:r>
      <w:r w:rsidRPr="00F07F58">
        <w:rPr>
          <w:rFonts w:ascii="Helvetica" w:hAnsi="Helvetica" w:cs="Arial"/>
          <w:sz w:val="24"/>
          <w:szCs w:val="24"/>
        </w:rPr>
        <w:t>In the Summary of the provisional agreement for the amalgamation (31</w:t>
      </w:r>
      <w:r w:rsidRPr="00F07F58">
        <w:rPr>
          <w:rFonts w:ascii="Helvetica" w:hAnsi="Helvetica" w:cs="Arial"/>
          <w:sz w:val="24"/>
          <w:szCs w:val="24"/>
          <w:vertAlign w:val="superscript"/>
        </w:rPr>
        <w:t>st</w:t>
      </w:r>
      <w:r w:rsidRPr="00F07F58">
        <w:rPr>
          <w:rFonts w:ascii="Helvetica" w:hAnsi="Helvetica" w:cs="Arial"/>
          <w:sz w:val="24"/>
          <w:szCs w:val="24"/>
        </w:rPr>
        <w:t xml:space="preserve"> October 1927) it was stated that the initial share capital of the new company would not exceed £21 million in total (£629 million </w:t>
      </w:r>
      <w:r w:rsidRPr="00F07F58">
        <w:rPr>
          <w:rFonts w:ascii="Helvetica" w:hAnsi="Helvetica" w:cs="Arial"/>
          <w:sz w:val="24"/>
          <w:szCs w:val="24"/>
        </w:rPr>
        <w:lastRenderedPageBreak/>
        <w:t>in 2005 money).</w:t>
      </w:r>
      <w:r w:rsidRPr="00F07F58">
        <w:rPr>
          <w:rStyle w:val="FootnoteReference"/>
          <w:rFonts w:ascii="Helvetica" w:hAnsi="Helvetica" w:cs="Arial"/>
          <w:sz w:val="24"/>
          <w:szCs w:val="24"/>
        </w:rPr>
        <w:footnoteReference w:id="13"/>
      </w:r>
      <w:r w:rsidRPr="00F07F58">
        <w:rPr>
          <w:rFonts w:ascii="Helvetica" w:hAnsi="Helvetica" w:cs="Arial"/>
          <w:sz w:val="24"/>
          <w:szCs w:val="24"/>
        </w:rPr>
        <w:t xml:space="preserve"> </w:t>
      </w:r>
      <w:r w:rsidRPr="00F07F58">
        <w:rPr>
          <w:rFonts w:ascii="Helvetica" w:hAnsi="Helvetica" w:cs="Arial"/>
          <w:b/>
          <w:sz w:val="24"/>
          <w:szCs w:val="24"/>
        </w:rPr>
        <w:t>In effect, by issuing full</w:t>
      </w:r>
      <w:r w:rsidR="005B6C2A" w:rsidRPr="00F07F58">
        <w:rPr>
          <w:rFonts w:ascii="Helvetica" w:hAnsi="Helvetica" w:cs="Arial"/>
          <w:b/>
          <w:sz w:val="24"/>
          <w:szCs w:val="24"/>
        </w:rPr>
        <w:t>y</w:t>
      </w:r>
      <w:r w:rsidRPr="00F07F58">
        <w:rPr>
          <w:rFonts w:ascii="Helvetica" w:hAnsi="Helvetica" w:cs="Arial"/>
          <w:b/>
          <w:sz w:val="24"/>
          <w:szCs w:val="24"/>
        </w:rPr>
        <w:t xml:space="preserve"> paid up shares, the Bank of England was writing a credit note for the existing shareholders and allowing the company to start again under a different name.</w:t>
      </w:r>
      <w:r w:rsidRPr="00F07F58">
        <w:rPr>
          <w:rFonts w:ascii="Helvetica" w:hAnsi="Helvetica" w:cs="Arial"/>
          <w:sz w:val="24"/>
          <w:szCs w:val="24"/>
        </w:rPr>
        <w:t xml:space="preserve"> Conveniently the government had also just passed Clause 53 of the Finance Act, which lessened the burden of capital and transfer duties incurred ‘on such amalgamations.’</w:t>
      </w:r>
      <w:r w:rsidRPr="00F07F58">
        <w:rPr>
          <w:rStyle w:val="FootnoteReference"/>
          <w:rFonts w:ascii="Helvetica" w:hAnsi="Helvetica" w:cs="Arial"/>
          <w:sz w:val="24"/>
          <w:szCs w:val="24"/>
        </w:rPr>
        <w:footnoteReference w:id="14"/>
      </w:r>
      <w:r w:rsidRPr="00F07F58">
        <w:rPr>
          <w:rFonts w:ascii="Helvetica" w:hAnsi="Helvetica" w:cs="Arial"/>
          <w:sz w:val="24"/>
          <w:szCs w:val="24"/>
        </w:rPr>
        <w:t xml:space="preserve"> </w:t>
      </w:r>
    </w:p>
    <w:p w14:paraId="7C22C7D6" w14:textId="34075E67" w:rsidR="0033366F" w:rsidRPr="00F07F58" w:rsidRDefault="0033366F" w:rsidP="00444E9B">
      <w:pPr>
        <w:spacing w:line="280" w:lineRule="exact"/>
        <w:rPr>
          <w:rFonts w:ascii="Helvetica" w:hAnsi="Helvetica" w:cs="Arial"/>
          <w:b/>
          <w:sz w:val="24"/>
          <w:szCs w:val="24"/>
        </w:rPr>
      </w:pPr>
      <w:r w:rsidRPr="00F07F58">
        <w:rPr>
          <w:rFonts w:ascii="Helvetica" w:hAnsi="Helvetica" w:cs="Arial"/>
          <w:b/>
          <w:sz w:val="24"/>
          <w:szCs w:val="24"/>
        </w:rPr>
        <w:t>Insured Against Lack of Profit</w:t>
      </w:r>
    </w:p>
    <w:p w14:paraId="49E7BAD6" w14:textId="7CF1FACB" w:rsidR="0033366F" w:rsidRPr="00F07F58" w:rsidRDefault="0033366F" w:rsidP="00444E9B">
      <w:pPr>
        <w:spacing w:line="280" w:lineRule="exact"/>
        <w:rPr>
          <w:rFonts w:ascii="Helvetica" w:hAnsi="Helvetica"/>
          <w:sz w:val="24"/>
          <w:szCs w:val="24"/>
        </w:rPr>
      </w:pPr>
      <w:r w:rsidRPr="00F07F58">
        <w:rPr>
          <w:rFonts w:ascii="Helvetica" w:eastAsia="Times New Roman" w:hAnsi="Helvetica" w:cs="Times New Roman"/>
          <w:sz w:val="24"/>
          <w:szCs w:val="24"/>
          <w:lang w:eastAsia="en-GB"/>
        </w:rPr>
        <w:t xml:space="preserve">The new company, </w:t>
      </w:r>
      <w:r w:rsidR="005D0049" w:rsidRPr="00F07F58">
        <w:rPr>
          <w:rFonts w:ascii="Helvetica" w:eastAsia="Times New Roman" w:hAnsi="Helvetica" w:cs="Times New Roman"/>
          <w:sz w:val="24"/>
          <w:szCs w:val="24"/>
          <w:lang w:eastAsia="en-GB"/>
        </w:rPr>
        <w:t>Vickers-</w:t>
      </w:r>
      <w:proofErr w:type="spellStart"/>
      <w:r w:rsidRPr="00F07F58">
        <w:rPr>
          <w:rFonts w:ascii="Helvetica" w:eastAsia="Times New Roman" w:hAnsi="Helvetica" w:cs="Times New Roman"/>
          <w:sz w:val="24"/>
          <w:szCs w:val="24"/>
          <w:lang w:eastAsia="en-GB"/>
        </w:rPr>
        <w:t>Armstrongs</w:t>
      </w:r>
      <w:proofErr w:type="spellEnd"/>
      <w:r w:rsidRPr="00F07F58">
        <w:rPr>
          <w:rFonts w:ascii="Helvetica" w:eastAsia="Times New Roman" w:hAnsi="Helvetica" w:cs="Times New Roman"/>
          <w:sz w:val="24"/>
          <w:szCs w:val="24"/>
          <w:lang w:eastAsia="en-GB"/>
        </w:rPr>
        <w:t xml:space="preserve"> Ltd., had a profits insurance contract with Sun Insurance which was to run for at least five years from February 1928. </w:t>
      </w:r>
      <w:r w:rsidRPr="00F07F58">
        <w:rPr>
          <w:rFonts w:ascii="Helvetica" w:hAnsi="Helvetica"/>
          <w:sz w:val="24"/>
          <w:szCs w:val="24"/>
        </w:rPr>
        <w:t>Montagu Norman, Bank of England</w:t>
      </w:r>
      <w:r w:rsidR="005B6C2A" w:rsidRPr="00F07F58">
        <w:rPr>
          <w:rFonts w:ascii="Helvetica" w:hAnsi="Helvetica"/>
          <w:sz w:val="24"/>
          <w:szCs w:val="24"/>
        </w:rPr>
        <w:t xml:space="preserve"> director,</w:t>
      </w:r>
      <w:r w:rsidRPr="00F07F58">
        <w:rPr>
          <w:rFonts w:ascii="Helvetica" w:hAnsi="Helvetica"/>
          <w:sz w:val="24"/>
          <w:szCs w:val="24"/>
        </w:rPr>
        <w:t xml:space="preserve"> used the Sun Insurance Company to obscure the fact that this was a government bailout of the private sector.</w:t>
      </w:r>
      <w:r w:rsidR="00B13D4D" w:rsidRPr="00F07F58">
        <w:rPr>
          <w:rStyle w:val="FootnoteReference"/>
          <w:rFonts w:ascii="Helvetica" w:hAnsi="Helvetica"/>
          <w:sz w:val="24"/>
          <w:szCs w:val="24"/>
        </w:rPr>
        <w:footnoteReference w:id="15"/>
      </w:r>
      <w:r w:rsidR="00B13D4D" w:rsidRPr="00F07F58">
        <w:rPr>
          <w:rFonts w:ascii="Helvetica" w:eastAsia="Times New Roman" w:hAnsi="Helvetica" w:cs="Times New Roman"/>
          <w:sz w:val="24"/>
          <w:szCs w:val="24"/>
          <w:lang w:eastAsia="en-GB"/>
        </w:rPr>
        <w:t xml:space="preserve"> </w:t>
      </w:r>
      <w:r w:rsidRPr="00F07F58">
        <w:rPr>
          <w:rFonts w:ascii="Helvetica" w:eastAsia="Times New Roman" w:hAnsi="Helvetica" w:cs="Times New Roman"/>
          <w:sz w:val="24"/>
          <w:szCs w:val="24"/>
          <w:lang w:eastAsia="en-GB"/>
        </w:rPr>
        <w:t>If the newly merged company did not make £ 900,000 profit per year then Sun Life would pay a yearly contribution to their profits of up to £200,000</w:t>
      </w:r>
      <w:r w:rsidR="00444E9B" w:rsidRPr="00F07F58">
        <w:rPr>
          <w:rFonts w:ascii="Helvetica" w:eastAsia="Times New Roman" w:hAnsi="Helvetica" w:cs="Times New Roman"/>
          <w:sz w:val="24"/>
          <w:szCs w:val="24"/>
          <w:lang w:eastAsia="en-GB"/>
        </w:rPr>
        <w:t>. I</w:t>
      </w:r>
      <w:r w:rsidRPr="00F07F58">
        <w:rPr>
          <w:rFonts w:ascii="Helvetica" w:eastAsia="Times New Roman" w:hAnsi="Helvetica" w:cs="Times New Roman"/>
          <w:sz w:val="24"/>
          <w:szCs w:val="24"/>
          <w:lang w:eastAsia="en-GB"/>
        </w:rPr>
        <w:t xml:space="preserve">f profits did exceed this amount then Sun could appropriate 40 percent of the amount. To guarantee such </w:t>
      </w:r>
      <w:r w:rsidR="005D0049" w:rsidRPr="00F07F58">
        <w:rPr>
          <w:rFonts w:ascii="Helvetica" w:eastAsia="Times New Roman" w:hAnsi="Helvetica" w:cs="Times New Roman"/>
          <w:sz w:val="24"/>
          <w:szCs w:val="24"/>
          <w:lang w:eastAsia="en-GB"/>
        </w:rPr>
        <w:t>pay out</w:t>
      </w:r>
      <w:r w:rsidRPr="00F07F58">
        <w:rPr>
          <w:rFonts w:ascii="Helvetica" w:eastAsia="Times New Roman" w:hAnsi="Helvetica" w:cs="Times New Roman"/>
          <w:sz w:val="24"/>
          <w:szCs w:val="24"/>
          <w:lang w:eastAsia="en-GB"/>
        </w:rPr>
        <w:t xml:space="preserve"> the new company paid premiums of £2,000 per annum. By 1936 Vickers Armstrong had received £1,000,000 which was then repayed to Sun Life as £1,116,135 (including three percent interest rate) on 31</w:t>
      </w:r>
      <w:r w:rsidRPr="00F07F58">
        <w:rPr>
          <w:rFonts w:ascii="Helvetica" w:eastAsia="Times New Roman" w:hAnsi="Helvetica" w:cs="Times New Roman"/>
          <w:sz w:val="24"/>
          <w:szCs w:val="24"/>
          <w:vertAlign w:val="superscript"/>
          <w:lang w:eastAsia="en-GB"/>
        </w:rPr>
        <w:t>st</w:t>
      </w:r>
      <w:r w:rsidRPr="00F07F58">
        <w:rPr>
          <w:rFonts w:ascii="Helvetica" w:eastAsia="Times New Roman" w:hAnsi="Helvetica" w:cs="Times New Roman"/>
          <w:sz w:val="24"/>
          <w:szCs w:val="24"/>
          <w:lang w:eastAsia="en-GB"/>
        </w:rPr>
        <w:t xml:space="preserve"> March 1936 when the insurance contract was cancelled.</w:t>
      </w:r>
      <w:r w:rsidRPr="00F07F58">
        <w:rPr>
          <w:rStyle w:val="FootnoteReference"/>
          <w:rFonts w:ascii="Helvetica" w:eastAsia="Times New Roman" w:hAnsi="Helvetica" w:cs="Times New Roman"/>
          <w:sz w:val="24"/>
          <w:szCs w:val="24"/>
          <w:lang w:eastAsia="en-GB"/>
        </w:rPr>
        <w:footnoteReference w:id="16"/>
      </w:r>
      <w:r w:rsidRPr="00F07F58">
        <w:rPr>
          <w:rFonts w:ascii="Helvetica" w:eastAsia="Times New Roman" w:hAnsi="Helvetica" w:cs="Times New Roman"/>
          <w:sz w:val="24"/>
          <w:szCs w:val="24"/>
          <w:lang w:eastAsia="en-GB"/>
        </w:rPr>
        <w:t xml:space="preserve"> Plender the original architect of the plan had assured all involved with the arms merger that there would be minimum profits, by hook or by crook! Vickers</w:t>
      </w:r>
      <w:r w:rsidR="005D0049" w:rsidRPr="00F07F58">
        <w:rPr>
          <w:rFonts w:ascii="Helvetica" w:eastAsia="Times New Roman" w:hAnsi="Helvetica" w:cs="Times New Roman"/>
          <w:sz w:val="24"/>
          <w:szCs w:val="24"/>
          <w:lang w:eastAsia="en-GB"/>
        </w:rPr>
        <w:t>- Armstrong</w:t>
      </w:r>
      <w:r w:rsidRPr="00F07F58">
        <w:rPr>
          <w:rFonts w:ascii="Helvetica" w:eastAsia="Times New Roman" w:hAnsi="Helvetica" w:cs="Times New Roman"/>
          <w:sz w:val="24"/>
          <w:szCs w:val="24"/>
          <w:lang w:eastAsia="en-GB"/>
        </w:rPr>
        <w:t xml:space="preserve"> Ltd. got £ 200,000</w:t>
      </w:r>
      <w:r w:rsidRPr="00F07F58">
        <w:rPr>
          <w:rStyle w:val="EndnoteReference"/>
          <w:rFonts w:ascii="Helvetica" w:eastAsia="Times New Roman" w:hAnsi="Helvetica" w:cs="Times New Roman"/>
          <w:sz w:val="24"/>
          <w:szCs w:val="24"/>
          <w:lang w:eastAsia="en-GB"/>
        </w:rPr>
        <w:endnoteReference w:id="1"/>
      </w:r>
      <w:r w:rsidRPr="00F07F58">
        <w:rPr>
          <w:rFonts w:ascii="Helvetica" w:eastAsia="Times New Roman" w:hAnsi="Helvetica" w:cs="Times New Roman"/>
          <w:sz w:val="24"/>
          <w:szCs w:val="24"/>
          <w:lang w:eastAsia="en-GB"/>
        </w:rPr>
        <w:t xml:space="preserve"> every year for five years.</w:t>
      </w:r>
      <w:r w:rsidRPr="00F07F58">
        <w:rPr>
          <w:rStyle w:val="FootnoteReference"/>
          <w:rFonts w:ascii="Helvetica" w:hAnsi="Helvetica"/>
          <w:sz w:val="24"/>
          <w:szCs w:val="24"/>
        </w:rPr>
        <w:t xml:space="preserve"> </w:t>
      </w:r>
      <w:r w:rsidRPr="00F07F58">
        <w:rPr>
          <w:rStyle w:val="FootnoteReference"/>
          <w:rFonts w:ascii="Helvetica" w:hAnsi="Helvetica"/>
          <w:sz w:val="24"/>
          <w:szCs w:val="24"/>
        </w:rPr>
        <w:footnoteReference w:id="17"/>
      </w:r>
    </w:p>
    <w:p w14:paraId="46168630" w14:textId="7CAAA14C" w:rsidR="0033366F" w:rsidRPr="00F07F58" w:rsidRDefault="005D0049" w:rsidP="00444E9B">
      <w:pPr>
        <w:spacing w:line="280" w:lineRule="exact"/>
        <w:rPr>
          <w:rFonts w:ascii="Helvetica" w:hAnsi="Helvetica"/>
          <w:sz w:val="24"/>
          <w:szCs w:val="24"/>
        </w:rPr>
      </w:pPr>
      <w:r w:rsidRPr="00F07F58">
        <w:rPr>
          <w:rFonts w:ascii="Helvetica" w:hAnsi="Helvetica"/>
          <w:sz w:val="24"/>
          <w:szCs w:val="24"/>
        </w:rPr>
        <w:t xml:space="preserve">As a condition of the merger (and the government underwriting) Vickers-Armstrong Ltd. were made to restrict </w:t>
      </w:r>
      <w:proofErr w:type="gramStart"/>
      <w:r w:rsidRPr="00F07F58">
        <w:rPr>
          <w:rFonts w:ascii="Helvetica" w:hAnsi="Helvetica"/>
          <w:sz w:val="24"/>
          <w:szCs w:val="24"/>
        </w:rPr>
        <w:t>its</w:t>
      </w:r>
      <w:proofErr w:type="gramEnd"/>
      <w:r w:rsidRPr="00F07F58">
        <w:rPr>
          <w:rFonts w:ascii="Helvetica" w:hAnsi="Helvetica"/>
          <w:sz w:val="24"/>
          <w:szCs w:val="24"/>
        </w:rPr>
        <w:t xml:space="preserve"> manufacturing to shipbuilding and heavy engineering, especially for the arms trade.</w:t>
      </w:r>
      <w:r w:rsidRPr="00F07F58">
        <w:rPr>
          <w:rStyle w:val="FootnoteReference"/>
          <w:rFonts w:ascii="Helvetica" w:hAnsi="Helvetica"/>
          <w:sz w:val="24"/>
          <w:szCs w:val="24"/>
        </w:rPr>
        <w:footnoteReference w:id="18"/>
      </w:r>
    </w:p>
    <w:p w14:paraId="40A42941" w14:textId="08D960F0" w:rsidR="008379E0" w:rsidRPr="00F07F58" w:rsidRDefault="00A4775F" w:rsidP="00444E9B">
      <w:pPr>
        <w:spacing w:line="280" w:lineRule="exact"/>
        <w:rPr>
          <w:rFonts w:ascii="Helvetica" w:hAnsi="Helvetica" w:cs="Arial"/>
          <w:sz w:val="24"/>
          <w:szCs w:val="24"/>
        </w:rPr>
      </w:pPr>
      <w:r w:rsidRPr="00F07F58">
        <w:rPr>
          <w:rFonts w:ascii="Helvetica" w:hAnsi="Helvetica"/>
          <w:sz w:val="24"/>
          <w:szCs w:val="24"/>
        </w:rPr>
        <w:t xml:space="preserve">The </w:t>
      </w:r>
      <w:r w:rsidR="00502930" w:rsidRPr="00F07F58">
        <w:rPr>
          <w:rFonts w:ascii="Helvetica" w:hAnsi="Helvetica"/>
          <w:sz w:val="24"/>
          <w:szCs w:val="24"/>
        </w:rPr>
        <w:t>diagram below shows the co</w:t>
      </w:r>
      <w:r w:rsidR="005D0049" w:rsidRPr="00F07F58">
        <w:rPr>
          <w:rFonts w:ascii="Helvetica" w:hAnsi="Helvetica"/>
          <w:sz w:val="24"/>
          <w:szCs w:val="24"/>
        </w:rPr>
        <w:t>sy relationship between Vickers-</w:t>
      </w:r>
      <w:r w:rsidR="00502930" w:rsidRPr="00F07F58">
        <w:rPr>
          <w:rFonts w:ascii="Helvetica" w:hAnsi="Helvetica"/>
          <w:sz w:val="24"/>
          <w:szCs w:val="24"/>
        </w:rPr>
        <w:t>Armstrong personn</w:t>
      </w:r>
      <w:r w:rsidR="00DD1DDC" w:rsidRPr="00F07F58">
        <w:rPr>
          <w:rFonts w:ascii="Helvetica" w:hAnsi="Helvetica"/>
          <w:sz w:val="24"/>
          <w:szCs w:val="24"/>
        </w:rPr>
        <w:t>el, bankers and the government.</w:t>
      </w:r>
      <w:r w:rsidR="008379E0" w:rsidRPr="00F07F58">
        <w:rPr>
          <w:rFonts w:ascii="Helvetica" w:hAnsi="Helvetica" w:cs="Arial"/>
          <w:sz w:val="24"/>
          <w:szCs w:val="24"/>
        </w:rPr>
        <w:t xml:space="preserve"> </w:t>
      </w:r>
    </w:p>
    <w:p w14:paraId="40849A2F" w14:textId="708B3FEC" w:rsidR="00DD1DDC" w:rsidRPr="00F07F58" w:rsidRDefault="00DD1DDC" w:rsidP="00444E9B">
      <w:pPr>
        <w:spacing w:line="280" w:lineRule="exact"/>
        <w:rPr>
          <w:rFonts w:ascii="Helvetica" w:hAnsi="Helvetica" w:cs="Arial"/>
          <w:sz w:val="24"/>
          <w:szCs w:val="24"/>
        </w:rPr>
      </w:pPr>
      <w:r w:rsidRPr="00F07F58">
        <w:rPr>
          <w:noProof/>
          <w:lang w:val="en-US"/>
        </w:rPr>
        <w:drawing>
          <wp:anchor distT="0" distB="0" distL="114300" distR="114300" simplePos="0" relativeHeight="251658240" behindDoc="0" locked="0" layoutInCell="1" allowOverlap="1" wp14:anchorId="3B010FA9" wp14:editId="3E5A342D">
            <wp:simplePos x="0" y="0"/>
            <wp:positionH relativeFrom="column">
              <wp:posOffset>228601</wp:posOffset>
            </wp:positionH>
            <wp:positionV relativeFrom="paragraph">
              <wp:posOffset>47625</wp:posOffset>
            </wp:positionV>
            <wp:extent cx="1600200" cy="119951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kers and Armstrong Banking relationships Michelle Thomasson.jpg"/>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600200" cy="119951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A1BD112" w14:textId="475DB23A" w:rsidR="00DD1DDC" w:rsidRPr="00F07F58" w:rsidRDefault="00DD1DDC" w:rsidP="00444E9B">
      <w:pPr>
        <w:spacing w:line="280" w:lineRule="exact"/>
        <w:rPr>
          <w:rFonts w:ascii="Helvetica" w:hAnsi="Helvetica" w:cs="Arial"/>
          <w:sz w:val="24"/>
          <w:szCs w:val="24"/>
        </w:rPr>
      </w:pPr>
    </w:p>
    <w:p w14:paraId="58306AC4" w14:textId="77777777" w:rsidR="00DD1DDC" w:rsidRPr="00F07F58" w:rsidRDefault="00DD1DDC" w:rsidP="00444E9B">
      <w:pPr>
        <w:spacing w:line="280" w:lineRule="exact"/>
        <w:rPr>
          <w:rFonts w:ascii="Helvetica" w:hAnsi="Helvetica" w:cs="Arial"/>
          <w:sz w:val="24"/>
          <w:szCs w:val="24"/>
        </w:rPr>
      </w:pPr>
    </w:p>
    <w:p w14:paraId="547CC921" w14:textId="77777777" w:rsidR="00DD1DDC" w:rsidRPr="00F07F58" w:rsidRDefault="00DD1DDC" w:rsidP="00444E9B">
      <w:pPr>
        <w:spacing w:line="280" w:lineRule="exact"/>
        <w:rPr>
          <w:rFonts w:ascii="Helvetica" w:hAnsi="Helvetica" w:cs="Arial"/>
          <w:sz w:val="24"/>
          <w:szCs w:val="24"/>
        </w:rPr>
      </w:pPr>
    </w:p>
    <w:p w14:paraId="051C753C" w14:textId="77777777" w:rsidR="00DD1DDC" w:rsidRPr="00F07F58" w:rsidRDefault="00DD1DDC" w:rsidP="00444E9B">
      <w:pPr>
        <w:spacing w:line="280" w:lineRule="exact"/>
        <w:rPr>
          <w:rFonts w:ascii="Helvetica" w:hAnsi="Helvetica"/>
          <w:sz w:val="24"/>
          <w:szCs w:val="24"/>
        </w:rPr>
      </w:pPr>
    </w:p>
    <w:p w14:paraId="0C755610" w14:textId="77777777" w:rsidR="00273382" w:rsidRPr="00F07F58" w:rsidRDefault="00273382" w:rsidP="00444E9B">
      <w:pPr>
        <w:spacing w:line="280" w:lineRule="exact"/>
        <w:rPr>
          <w:rFonts w:ascii="Helvetica" w:hAnsi="Helvetica"/>
          <w:sz w:val="24"/>
          <w:szCs w:val="24"/>
        </w:rPr>
      </w:pPr>
    </w:p>
    <w:p w14:paraId="6BBBE307" w14:textId="5125867E" w:rsidR="00DD1DDC" w:rsidRPr="00F07F58" w:rsidRDefault="00DD1DDC" w:rsidP="00444E9B">
      <w:pPr>
        <w:spacing w:line="280" w:lineRule="exact"/>
        <w:rPr>
          <w:rFonts w:ascii="Helvetica" w:hAnsi="Helvetica"/>
          <w:sz w:val="24"/>
          <w:szCs w:val="24"/>
        </w:rPr>
      </w:pPr>
    </w:p>
    <w:p w14:paraId="73B96D74" w14:textId="3A99D1B7" w:rsidR="00E449E6" w:rsidRPr="00F07F58" w:rsidRDefault="00444E9B" w:rsidP="00444E9B">
      <w:pPr>
        <w:spacing w:line="280" w:lineRule="exact"/>
        <w:rPr>
          <w:rFonts w:ascii="Helvetica" w:hAnsi="Helvetica" w:cs="Arial"/>
          <w:sz w:val="24"/>
          <w:szCs w:val="24"/>
        </w:rPr>
      </w:pPr>
      <w:r w:rsidRPr="00F07F58">
        <w:rPr>
          <w:rFonts w:ascii="Helvetica" w:hAnsi="Helvetica" w:cs="Arial"/>
          <w:sz w:val="24"/>
          <w:szCs w:val="24"/>
        </w:rPr>
        <w:t xml:space="preserve">Read more about </w:t>
      </w:r>
      <w:proofErr w:type="gramStart"/>
      <w:r w:rsidRPr="00F07F58">
        <w:rPr>
          <w:rFonts w:ascii="Helvetica" w:hAnsi="Helvetica" w:cs="Arial"/>
          <w:sz w:val="24"/>
          <w:szCs w:val="24"/>
        </w:rPr>
        <w:t>Vickers’</w:t>
      </w:r>
      <w:proofErr w:type="gramEnd"/>
      <w:r w:rsidRPr="00F07F58">
        <w:rPr>
          <w:rFonts w:ascii="Helvetica" w:hAnsi="Helvetica" w:cs="Arial"/>
          <w:sz w:val="24"/>
          <w:szCs w:val="24"/>
        </w:rPr>
        <w:t xml:space="preserve"> and Armstrong’s exploits before and during the war in the Ottoman Navy Scandal and the Vickers &amp; Krupp case studies.</w:t>
      </w:r>
    </w:p>
    <w:p w14:paraId="05F5B62D" w14:textId="6469783C" w:rsidR="00FB23EB" w:rsidRPr="00F07F58" w:rsidRDefault="00502930" w:rsidP="00444E9B">
      <w:pPr>
        <w:spacing w:line="280" w:lineRule="exact"/>
        <w:rPr>
          <w:rFonts w:ascii="Helvetica" w:hAnsi="Helvetica" w:cs="Arial"/>
          <w:b/>
          <w:sz w:val="24"/>
          <w:szCs w:val="24"/>
        </w:rPr>
      </w:pPr>
      <w:r w:rsidRPr="00F07F58">
        <w:rPr>
          <w:rFonts w:ascii="Helvetica" w:hAnsi="Helvetica" w:cs="Arial"/>
          <w:b/>
          <w:sz w:val="24"/>
          <w:szCs w:val="24"/>
        </w:rPr>
        <w:t>Researcher:</w:t>
      </w:r>
      <w:r w:rsidR="008379E0" w:rsidRPr="00F07F58">
        <w:rPr>
          <w:rFonts w:ascii="Helvetica" w:hAnsi="Helvetica" w:cs="Arial"/>
          <w:b/>
          <w:sz w:val="24"/>
          <w:szCs w:val="24"/>
        </w:rPr>
        <w:t xml:space="preserve"> </w:t>
      </w:r>
      <w:r w:rsidR="00976A16" w:rsidRPr="00F07F58">
        <w:rPr>
          <w:rFonts w:ascii="Helvetica" w:hAnsi="Helvetica" w:cs="Arial"/>
          <w:b/>
          <w:sz w:val="24"/>
          <w:szCs w:val="24"/>
        </w:rPr>
        <w:t>Michelle Thomasson</w:t>
      </w:r>
    </w:p>
    <w:p w14:paraId="3E5A9418" w14:textId="77777777" w:rsidR="00FB23EB" w:rsidRPr="00F07F58" w:rsidRDefault="00FB23EB" w:rsidP="00444E9B">
      <w:pPr>
        <w:spacing w:line="280" w:lineRule="exact"/>
        <w:rPr>
          <w:rFonts w:ascii="Helvetica" w:hAnsi="Helvetica" w:cs="Arial"/>
          <w:sz w:val="24"/>
          <w:szCs w:val="24"/>
        </w:rPr>
      </w:pPr>
    </w:p>
    <w:p w14:paraId="5D37817A" w14:textId="24ED4018" w:rsidR="006B457B" w:rsidRPr="00F07F58" w:rsidRDefault="006B457B" w:rsidP="00444E9B">
      <w:pPr>
        <w:spacing w:line="280" w:lineRule="exact"/>
        <w:rPr>
          <w:rFonts w:ascii="Helvetica" w:hAnsi="Helvetica" w:cs="Arial"/>
          <w:b/>
          <w:sz w:val="24"/>
          <w:szCs w:val="24"/>
        </w:rPr>
      </w:pPr>
      <w:r w:rsidRPr="00F07F58">
        <w:rPr>
          <w:rFonts w:ascii="Helvetica" w:hAnsi="Helvetica" w:cs="Arial"/>
          <w:b/>
          <w:sz w:val="24"/>
          <w:szCs w:val="24"/>
        </w:rPr>
        <w:t>Export Credits: T</w:t>
      </w:r>
      <w:r w:rsidR="002A6526" w:rsidRPr="00F07F58">
        <w:rPr>
          <w:rFonts w:ascii="Helvetica" w:hAnsi="Helvetica" w:cs="Arial"/>
          <w:b/>
          <w:sz w:val="24"/>
          <w:szCs w:val="24"/>
        </w:rPr>
        <w:t>oday’s Publically Funded Insurance for A</w:t>
      </w:r>
      <w:r w:rsidRPr="00F07F58">
        <w:rPr>
          <w:rFonts w:ascii="Helvetica" w:hAnsi="Helvetica" w:cs="Arial"/>
          <w:b/>
          <w:sz w:val="24"/>
          <w:szCs w:val="24"/>
        </w:rPr>
        <w:t xml:space="preserve">rms </w:t>
      </w:r>
      <w:r w:rsidR="002A6526" w:rsidRPr="00F07F58">
        <w:rPr>
          <w:rFonts w:ascii="Helvetica" w:hAnsi="Helvetica" w:cs="Arial"/>
          <w:b/>
          <w:sz w:val="24"/>
          <w:szCs w:val="24"/>
        </w:rPr>
        <w:t>C</w:t>
      </w:r>
      <w:r w:rsidRPr="00F07F58">
        <w:rPr>
          <w:rFonts w:ascii="Helvetica" w:hAnsi="Helvetica" w:cs="Arial"/>
          <w:b/>
          <w:sz w:val="24"/>
          <w:szCs w:val="24"/>
        </w:rPr>
        <w:t>ompanies</w:t>
      </w:r>
    </w:p>
    <w:p w14:paraId="4AE6B111" w14:textId="47B7D194" w:rsidR="00444E9B" w:rsidRPr="00F07F58" w:rsidRDefault="00F07F58" w:rsidP="00444E9B">
      <w:pPr>
        <w:spacing w:line="280" w:lineRule="exact"/>
        <w:rPr>
          <w:rFonts w:ascii="Helvetica" w:hAnsi="Helvetica" w:cs="Arial"/>
          <w:sz w:val="24"/>
          <w:szCs w:val="24"/>
        </w:rPr>
      </w:pPr>
      <w:hyperlink r:id="rId10" w:history="1">
        <w:r w:rsidR="006B457B" w:rsidRPr="00F07F58">
          <w:rPr>
            <w:rStyle w:val="Hyperlink"/>
            <w:rFonts w:ascii="Helvetica" w:hAnsi="Helvetica" w:cs="Arial"/>
            <w:color w:val="auto"/>
            <w:sz w:val="24"/>
            <w:szCs w:val="24"/>
          </w:rPr>
          <w:t>Export Finance</w:t>
        </w:r>
      </w:hyperlink>
      <w:r w:rsidR="006B457B" w:rsidRPr="00F07F58">
        <w:rPr>
          <w:rFonts w:ascii="Helvetica" w:hAnsi="Helvetica" w:cs="Arial"/>
          <w:sz w:val="24"/>
          <w:szCs w:val="24"/>
        </w:rPr>
        <w:t xml:space="preserve"> is a government-provided insurance scheme. It uses public money to guarantee that companies and banks involved in an export deal will not lose out if the overseas buyer does not pay, or makes late payments. Companies are charged a premium and UK Export Finance aims to break even, but any shortfall comes from the UK </w:t>
      </w:r>
      <w:r w:rsidR="005D0049" w:rsidRPr="00F07F58">
        <w:rPr>
          <w:rFonts w:ascii="Helvetica" w:hAnsi="Helvetica" w:cs="Arial"/>
          <w:sz w:val="24"/>
          <w:szCs w:val="24"/>
        </w:rPr>
        <w:t>taxpayer</w:t>
      </w:r>
      <w:r w:rsidR="006B457B" w:rsidRPr="00F07F58">
        <w:rPr>
          <w:rFonts w:ascii="Helvetica" w:hAnsi="Helvetica" w:cs="Arial"/>
          <w:sz w:val="24"/>
          <w:szCs w:val="24"/>
        </w:rPr>
        <w:t xml:space="preserve">. </w:t>
      </w:r>
      <w:hyperlink r:id="rId11" w:history="1">
        <w:r w:rsidR="006B457B" w:rsidRPr="00F07F58">
          <w:rPr>
            <w:rStyle w:val="Hyperlink"/>
            <w:rFonts w:ascii="Helvetica" w:hAnsi="Helvetica" w:cs="Arial"/>
            <w:color w:val="auto"/>
            <w:sz w:val="24"/>
            <w:szCs w:val="24"/>
          </w:rPr>
          <w:t>UK Export Finance</w:t>
        </w:r>
      </w:hyperlink>
      <w:r w:rsidR="00944E96" w:rsidRPr="00F07F58">
        <w:rPr>
          <w:rFonts w:ascii="Helvetica" w:hAnsi="Helvetica" w:cs="Arial"/>
          <w:sz w:val="24"/>
          <w:szCs w:val="24"/>
        </w:rPr>
        <w:t xml:space="preserve"> (UKEF), the independent g</w:t>
      </w:r>
      <w:r w:rsidR="006B457B" w:rsidRPr="00F07F58">
        <w:rPr>
          <w:rFonts w:ascii="Helvetica" w:hAnsi="Helvetica" w:cs="Arial"/>
          <w:sz w:val="24"/>
          <w:szCs w:val="24"/>
        </w:rPr>
        <w:t xml:space="preserve">overnment department that provides the scheme was known until November 2011 as the Export Credits Guarantee Department (ECGD). The ECGD was established in 1919 to ‘help </w:t>
      </w:r>
      <w:bookmarkStart w:id="1" w:name="a2"/>
      <w:r w:rsidR="006B457B" w:rsidRPr="00F07F58">
        <w:rPr>
          <w:rFonts w:ascii="Helvetica" w:hAnsi="Helvetica" w:cs="Arial"/>
          <w:sz w:val="24"/>
          <w:szCs w:val="24"/>
        </w:rPr>
        <w:t>British exporters re-e</w:t>
      </w:r>
      <w:r w:rsidR="00A855B9" w:rsidRPr="00F07F58">
        <w:rPr>
          <w:rFonts w:ascii="Helvetica" w:hAnsi="Helvetica" w:cs="Arial"/>
          <w:sz w:val="24"/>
          <w:szCs w:val="24"/>
        </w:rPr>
        <w:t>stablish their trade after the First W</w:t>
      </w:r>
      <w:r w:rsidR="006B457B" w:rsidRPr="00F07F58">
        <w:rPr>
          <w:rFonts w:ascii="Helvetica" w:hAnsi="Helvetica" w:cs="Arial"/>
          <w:sz w:val="24"/>
          <w:szCs w:val="24"/>
        </w:rPr>
        <w:t xml:space="preserve">orld </w:t>
      </w:r>
      <w:r w:rsidR="00A855B9" w:rsidRPr="00F07F58">
        <w:rPr>
          <w:rFonts w:ascii="Helvetica" w:hAnsi="Helvetica" w:cs="Arial"/>
          <w:sz w:val="24"/>
          <w:szCs w:val="24"/>
        </w:rPr>
        <w:t>W</w:t>
      </w:r>
      <w:r w:rsidR="006B457B" w:rsidRPr="00F07F58">
        <w:rPr>
          <w:rFonts w:ascii="Helvetica" w:hAnsi="Helvetica" w:cs="Arial"/>
          <w:sz w:val="24"/>
          <w:szCs w:val="24"/>
        </w:rPr>
        <w:t>ar</w:t>
      </w:r>
      <w:bookmarkEnd w:id="1"/>
      <w:r w:rsidR="006B457B" w:rsidRPr="00F07F58">
        <w:rPr>
          <w:rFonts w:ascii="Helvetica" w:hAnsi="Helvetica" w:cs="Arial"/>
          <w:sz w:val="24"/>
          <w:szCs w:val="24"/>
        </w:rPr>
        <w:t xml:space="preserve">.’ </w:t>
      </w:r>
    </w:p>
    <w:p w14:paraId="3451CBD8" w14:textId="4A191E2A" w:rsidR="006B457B" w:rsidRPr="00F07F58" w:rsidRDefault="006B457B" w:rsidP="00444E9B">
      <w:pPr>
        <w:spacing w:line="280" w:lineRule="exact"/>
        <w:rPr>
          <w:rFonts w:ascii="Helvetica" w:hAnsi="Helvetica" w:cs="Arial"/>
          <w:sz w:val="24"/>
          <w:szCs w:val="24"/>
        </w:rPr>
      </w:pPr>
      <w:r w:rsidRPr="00F07F58">
        <w:rPr>
          <w:rFonts w:ascii="Helvetica" w:hAnsi="Helvetica" w:cs="Arial"/>
          <w:sz w:val="24"/>
          <w:szCs w:val="24"/>
        </w:rPr>
        <w:t>It originally limited the provision of export credits to a named group of countries</w:t>
      </w:r>
      <w:r w:rsidR="00444E9B" w:rsidRPr="00F07F58">
        <w:rPr>
          <w:rFonts w:ascii="Helvetica" w:hAnsi="Helvetica" w:cs="Arial"/>
          <w:sz w:val="24"/>
          <w:szCs w:val="24"/>
        </w:rPr>
        <w:t xml:space="preserve">. </w:t>
      </w:r>
      <w:r w:rsidRPr="00F07F58">
        <w:rPr>
          <w:rFonts w:ascii="Helvetica" w:hAnsi="Helvetica" w:cs="Arial"/>
          <w:sz w:val="24"/>
          <w:szCs w:val="24"/>
        </w:rPr>
        <w:t xml:space="preserve">Today, this publicly funded insurance supports international weapons deals. In recent times, the arms industry has been the largest beneficiary </w:t>
      </w:r>
      <w:proofErr w:type="gramStart"/>
      <w:r w:rsidRPr="00F07F58">
        <w:rPr>
          <w:rFonts w:ascii="Helvetica" w:hAnsi="Helvetica" w:cs="Arial"/>
          <w:sz w:val="24"/>
          <w:szCs w:val="24"/>
        </w:rPr>
        <w:t>of  Export</w:t>
      </w:r>
      <w:proofErr w:type="gramEnd"/>
      <w:r w:rsidRPr="00F07F58">
        <w:rPr>
          <w:rFonts w:ascii="Helvetica" w:hAnsi="Helvetica" w:cs="Arial"/>
          <w:sz w:val="24"/>
          <w:szCs w:val="24"/>
        </w:rPr>
        <w:t xml:space="preserve"> Credit Guarantees, even though </w:t>
      </w:r>
      <w:r w:rsidRPr="00F07F58">
        <w:rPr>
          <w:rFonts w:ascii="Helvetica" w:eastAsia="Times New Roman" w:hAnsi="Helvetica" w:cs="Arial"/>
          <w:sz w:val="24"/>
          <w:szCs w:val="24"/>
          <w:lang w:eastAsia="en-GB"/>
        </w:rPr>
        <w:t>arms account for just 1.5</w:t>
      </w:r>
      <w:r w:rsidR="0083090B" w:rsidRPr="00F07F58">
        <w:rPr>
          <w:rFonts w:ascii="Helvetica" w:eastAsia="Times New Roman" w:hAnsi="Helvetica" w:cs="Arial"/>
          <w:sz w:val="24"/>
          <w:szCs w:val="24"/>
          <w:lang w:eastAsia="en-GB"/>
        </w:rPr>
        <w:t xml:space="preserve"> percent</w:t>
      </w:r>
      <w:r w:rsidRPr="00F07F58">
        <w:rPr>
          <w:rFonts w:ascii="Helvetica" w:eastAsia="Times New Roman" w:hAnsi="Helvetica" w:cs="Arial"/>
          <w:sz w:val="24"/>
          <w:szCs w:val="24"/>
          <w:lang w:eastAsia="en-GB"/>
        </w:rPr>
        <w:t xml:space="preserve"> of total UK exports.</w:t>
      </w:r>
      <w:r w:rsidR="0083090B" w:rsidRPr="00F07F58">
        <w:rPr>
          <w:rFonts w:ascii="Helvetica" w:eastAsia="Times New Roman" w:hAnsi="Helvetica" w:cs="Arial"/>
          <w:sz w:val="24"/>
          <w:szCs w:val="24"/>
          <w:lang w:eastAsia="en-GB"/>
        </w:rPr>
        <w:t xml:space="preserve"> Between 2007 and 200</w:t>
      </w:r>
      <w:r w:rsidRPr="00F07F58">
        <w:rPr>
          <w:rFonts w:ascii="Helvetica" w:eastAsia="Times New Roman" w:hAnsi="Helvetica" w:cs="Arial"/>
          <w:sz w:val="24"/>
          <w:szCs w:val="24"/>
          <w:lang w:eastAsia="en-GB"/>
        </w:rPr>
        <w:t>8 arms companies received a massive 57</w:t>
      </w:r>
      <w:r w:rsidR="0083090B" w:rsidRPr="00F07F58">
        <w:rPr>
          <w:rFonts w:ascii="Helvetica" w:eastAsia="Times New Roman" w:hAnsi="Helvetica" w:cs="Arial"/>
          <w:sz w:val="24"/>
          <w:szCs w:val="24"/>
          <w:lang w:eastAsia="en-GB"/>
        </w:rPr>
        <w:t xml:space="preserve"> percent</w:t>
      </w:r>
      <w:r w:rsidRPr="00F07F58">
        <w:rPr>
          <w:rFonts w:ascii="Helvetica" w:eastAsia="Times New Roman" w:hAnsi="Helvetica" w:cs="Arial"/>
          <w:sz w:val="24"/>
          <w:szCs w:val="24"/>
          <w:lang w:eastAsia="en-GB"/>
        </w:rPr>
        <w:t xml:space="preserve"> of export credits. </w:t>
      </w:r>
    </w:p>
    <w:p w14:paraId="4105F18A" w14:textId="4D9E51E2" w:rsidR="006B457B" w:rsidRPr="00F07F58" w:rsidRDefault="006B457B" w:rsidP="00444E9B">
      <w:pPr>
        <w:spacing w:before="280" w:after="280" w:line="280" w:lineRule="exact"/>
        <w:rPr>
          <w:rFonts w:ascii="Helvetica" w:eastAsia="Times New Roman" w:hAnsi="Helvetica" w:cs="Arial"/>
          <w:sz w:val="24"/>
          <w:szCs w:val="24"/>
          <w:lang w:eastAsia="en-GB"/>
        </w:rPr>
      </w:pPr>
      <w:r w:rsidRPr="00F07F58">
        <w:rPr>
          <w:rFonts w:ascii="Helvetica" w:hAnsi="Helvetica" w:cs="Arial"/>
          <w:sz w:val="24"/>
          <w:szCs w:val="24"/>
        </w:rPr>
        <w:t xml:space="preserve">It has supported weapons sales to dictators. </w:t>
      </w:r>
      <w:r w:rsidRPr="00F07F58">
        <w:rPr>
          <w:rFonts w:ascii="Helvetica" w:eastAsia="Times New Roman" w:hAnsi="Helvetica" w:cs="Arial"/>
          <w:sz w:val="24"/>
          <w:szCs w:val="24"/>
          <w:lang w:eastAsia="en-GB"/>
        </w:rPr>
        <w:t>BAE Systems tops the list of arms company b</w:t>
      </w:r>
      <w:r w:rsidR="0083090B" w:rsidRPr="00F07F58">
        <w:rPr>
          <w:rFonts w:ascii="Helvetica" w:eastAsia="Times New Roman" w:hAnsi="Helvetica" w:cs="Arial"/>
          <w:sz w:val="24"/>
          <w:szCs w:val="24"/>
          <w:lang w:eastAsia="en-GB"/>
        </w:rPr>
        <w:t>eneficiaries: in one year (2006-</w:t>
      </w:r>
      <w:r w:rsidRPr="00F07F58">
        <w:rPr>
          <w:rFonts w:ascii="Helvetica" w:eastAsia="Times New Roman" w:hAnsi="Helvetica" w:cs="Arial"/>
          <w:sz w:val="24"/>
          <w:szCs w:val="24"/>
          <w:lang w:eastAsia="en-GB"/>
        </w:rPr>
        <w:t>7) its arms sales to the repressive regime of Saudi Arabia accounted for 42</w:t>
      </w:r>
      <w:r w:rsidR="0083090B" w:rsidRPr="00F07F58">
        <w:rPr>
          <w:rFonts w:ascii="Helvetica" w:eastAsia="Times New Roman" w:hAnsi="Helvetica" w:cs="Arial"/>
          <w:sz w:val="24"/>
          <w:szCs w:val="24"/>
          <w:lang w:eastAsia="en-GB"/>
        </w:rPr>
        <w:t xml:space="preserve"> percent</w:t>
      </w:r>
      <w:r w:rsidRPr="00F07F58">
        <w:rPr>
          <w:rFonts w:ascii="Helvetica" w:eastAsia="Times New Roman" w:hAnsi="Helvetica" w:cs="Arial"/>
          <w:sz w:val="24"/>
          <w:szCs w:val="24"/>
          <w:lang w:eastAsia="en-GB"/>
        </w:rPr>
        <w:t xml:space="preserve"> of all export credit guarantees. </w:t>
      </w:r>
    </w:p>
    <w:p w14:paraId="1C100D55" w14:textId="22DD1C59" w:rsidR="006B457B" w:rsidRPr="00F07F58" w:rsidRDefault="006B457B" w:rsidP="00444E9B">
      <w:pPr>
        <w:spacing w:before="280" w:after="280" w:line="280" w:lineRule="exact"/>
        <w:rPr>
          <w:rFonts w:ascii="Helvetica" w:eastAsia="Times New Roman" w:hAnsi="Helvetica" w:cs="Arial"/>
          <w:sz w:val="24"/>
          <w:szCs w:val="24"/>
          <w:lang w:eastAsia="en-GB"/>
        </w:rPr>
      </w:pPr>
      <w:r w:rsidRPr="00F07F58">
        <w:rPr>
          <w:rFonts w:ascii="Helvetica" w:eastAsia="Times New Roman" w:hAnsi="Helvetica" w:cs="Arial"/>
          <w:sz w:val="24"/>
          <w:szCs w:val="24"/>
          <w:lang w:eastAsia="en-GB"/>
        </w:rPr>
        <w:t>Export credit guarantees to arms companie</w:t>
      </w:r>
      <w:r w:rsidR="00444E9B" w:rsidRPr="00F07F58">
        <w:rPr>
          <w:rFonts w:ascii="Helvetica" w:eastAsia="Times New Roman" w:hAnsi="Helvetica" w:cs="Arial"/>
          <w:sz w:val="24"/>
          <w:szCs w:val="24"/>
          <w:lang w:eastAsia="en-GB"/>
        </w:rPr>
        <w:t xml:space="preserve">s declined drastically to just one </w:t>
      </w:r>
      <w:r w:rsidR="0083090B" w:rsidRPr="00F07F58">
        <w:rPr>
          <w:rFonts w:ascii="Helvetica" w:eastAsia="Times New Roman" w:hAnsi="Helvetica" w:cs="Arial"/>
          <w:sz w:val="24"/>
          <w:szCs w:val="24"/>
          <w:lang w:eastAsia="en-GB"/>
        </w:rPr>
        <w:t>percent</w:t>
      </w:r>
      <w:r w:rsidRPr="00F07F58">
        <w:rPr>
          <w:rFonts w:ascii="Helvetica" w:eastAsia="Times New Roman" w:hAnsi="Helvetica" w:cs="Arial"/>
          <w:sz w:val="24"/>
          <w:szCs w:val="24"/>
          <w:lang w:eastAsia="en-GB"/>
        </w:rPr>
        <w:t xml:space="preserve"> in 2008-9 when </w:t>
      </w:r>
      <w:hyperlink r:id="rId12" w:history="1">
        <w:r w:rsidRPr="00F07F58">
          <w:rPr>
            <w:rStyle w:val="Hyperlink"/>
            <w:rFonts w:ascii="Helvetica" w:eastAsia="Times New Roman" w:hAnsi="Helvetica" w:cs="Arial"/>
            <w:color w:val="auto"/>
            <w:sz w:val="24"/>
            <w:szCs w:val="24"/>
            <w:lang w:eastAsia="en-GB"/>
          </w:rPr>
          <w:t>BAE ended the support</w:t>
        </w:r>
      </w:hyperlink>
      <w:r w:rsidRPr="00F07F58">
        <w:rPr>
          <w:rFonts w:ascii="Helvetica" w:eastAsia="Times New Roman" w:hAnsi="Helvetica" w:cs="Arial"/>
          <w:sz w:val="24"/>
          <w:szCs w:val="24"/>
          <w:lang w:eastAsia="en-GB"/>
        </w:rPr>
        <w:t xml:space="preserve"> for its Saudi arms deals. This coincided with a highly critical report [</w:t>
      </w:r>
      <w:hyperlink r:id="rId13" w:history="1">
        <w:r w:rsidRPr="00F07F58">
          <w:rPr>
            <w:rStyle w:val="Hyperlink"/>
            <w:rFonts w:ascii="Helvetica" w:eastAsia="Times New Roman" w:hAnsi="Helvetica" w:cs="Arial"/>
            <w:color w:val="auto"/>
            <w:sz w:val="24"/>
            <w:szCs w:val="24"/>
            <w:lang w:eastAsia="en-GB"/>
          </w:rPr>
          <w:t>OECD's October 2008 report into the UK (PDF 739kb)</w:t>
        </w:r>
      </w:hyperlink>
      <w:r w:rsidRPr="00F07F58">
        <w:rPr>
          <w:rFonts w:ascii="Helvetica" w:eastAsia="Times New Roman" w:hAnsi="Helvetica" w:cs="Arial"/>
          <w:sz w:val="24"/>
          <w:szCs w:val="24"/>
          <w:lang w:eastAsia="en-GB"/>
        </w:rPr>
        <w:t>] from the Organisation for Economic Cooperation and Development (OECD</w:t>
      </w:r>
      <w:r w:rsidR="005D0049" w:rsidRPr="00F07F58">
        <w:rPr>
          <w:rFonts w:ascii="Helvetica" w:eastAsia="Times New Roman" w:hAnsi="Helvetica" w:cs="Arial"/>
          <w:sz w:val="24"/>
          <w:szCs w:val="24"/>
          <w:lang w:eastAsia="en-GB"/>
        </w:rPr>
        <w:t>), which</w:t>
      </w:r>
      <w:r w:rsidRPr="00F07F58">
        <w:rPr>
          <w:rFonts w:ascii="Helvetica" w:eastAsia="Times New Roman" w:hAnsi="Helvetica" w:cs="Arial"/>
          <w:sz w:val="24"/>
          <w:szCs w:val="24"/>
          <w:lang w:eastAsia="en-GB"/>
        </w:rPr>
        <w:t xml:space="preserve"> criticised the ECGD for its lack of action on evidence of misrepresentations by BAE. It questioned providing export support where the recipient had interfered with criminal law proceedings as Saudi Arabia had done with the SFO inquiry</w:t>
      </w:r>
      <w:r w:rsidR="00444E9B" w:rsidRPr="00F07F58">
        <w:rPr>
          <w:rFonts w:ascii="Helvetica" w:eastAsia="Times New Roman" w:hAnsi="Helvetica" w:cs="Arial"/>
          <w:sz w:val="24"/>
          <w:szCs w:val="24"/>
          <w:lang w:eastAsia="en-GB"/>
        </w:rPr>
        <w:t>.</w:t>
      </w:r>
      <w:r w:rsidRPr="00F07F58">
        <w:rPr>
          <w:rFonts w:ascii="Helvetica" w:eastAsia="Times New Roman" w:hAnsi="Helvetica" w:cs="Arial"/>
          <w:sz w:val="24"/>
          <w:szCs w:val="24"/>
          <w:lang w:eastAsia="en-GB"/>
        </w:rPr>
        <w:t xml:space="preserve"> </w:t>
      </w:r>
    </w:p>
    <w:p w14:paraId="2EDC3352" w14:textId="7571DD6A" w:rsidR="006B457B" w:rsidRPr="00F07F58" w:rsidRDefault="006B457B" w:rsidP="00444E9B">
      <w:pPr>
        <w:spacing w:before="280" w:after="280" w:line="280" w:lineRule="exact"/>
        <w:rPr>
          <w:rFonts w:ascii="Helvetica" w:eastAsia="Times New Roman" w:hAnsi="Helvetica" w:cs="Arial"/>
          <w:bCs/>
          <w:sz w:val="24"/>
          <w:szCs w:val="24"/>
          <w:lang w:eastAsia="en-GB"/>
        </w:rPr>
      </w:pPr>
      <w:r w:rsidRPr="00F07F58">
        <w:rPr>
          <w:rFonts w:ascii="Helvetica" w:eastAsia="Times New Roman" w:hAnsi="Helvetica" w:cs="Arial"/>
          <w:sz w:val="24"/>
          <w:szCs w:val="24"/>
          <w:lang w:eastAsia="en-GB"/>
        </w:rPr>
        <w:t>However, backing for military deals soared again to 47</w:t>
      </w:r>
      <w:r w:rsidR="0083090B" w:rsidRPr="00F07F58">
        <w:rPr>
          <w:rFonts w:ascii="Helvetica" w:eastAsia="Times New Roman" w:hAnsi="Helvetica" w:cs="Arial"/>
          <w:sz w:val="24"/>
          <w:szCs w:val="24"/>
          <w:lang w:eastAsia="en-GB"/>
        </w:rPr>
        <w:t xml:space="preserve"> percent of all export credits in 2012-</w:t>
      </w:r>
      <w:r w:rsidRPr="00F07F58">
        <w:rPr>
          <w:rFonts w:ascii="Helvetica" w:eastAsia="Times New Roman" w:hAnsi="Helvetica" w:cs="Arial"/>
          <w:sz w:val="24"/>
          <w:szCs w:val="24"/>
          <w:lang w:eastAsia="en-GB"/>
        </w:rPr>
        <w:t>13. This included £2</w:t>
      </w:r>
      <w:r w:rsidR="0083090B" w:rsidRPr="00F07F58">
        <w:rPr>
          <w:rFonts w:ascii="Helvetica" w:eastAsia="Times New Roman" w:hAnsi="Helvetica" w:cs="Arial"/>
          <w:sz w:val="24"/>
          <w:szCs w:val="24"/>
          <w:lang w:eastAsia="en-GB"/>
        </w:rPr>
        <w:t xml:space="preserve"> </w:t>
      </w:r>
      <w:r w:rsidRPr="00F07F58">
        <w:rPr>
          <w:rFonts w:ascii="Helvetica" w:eastAsia="Times New Roman" w:hAnsi="Helvetica" w:cs="Arial"/>
          <w:sz w:val="24"/>
          <w:szCs w:val="24"/>
          <w:lang w:eastAsia="en-GB"/>
        </w:rPr>
        <w:t>billon cover for the purchase of BAE Eurofighter Typhoons by the dictatorship in Oman; £4.2</w:t>
      </w:r>
      <w:r w:rsidR="0083090B" w:rsidRPr="00F07F58">
        <w:rPr>
          <w:rFonts w:ascii="Helvetica" w:eastAsia="Times New Roman" w:hAnsi="Helvetica" w:cs="Arial"/>
          <w:sz w:val="24"/>
          <w:szCs w:val="24"/>
          <w:lang w:eastAsia="en-GB"/>
        </w:rPr>
        <w:t xml:space="preserve"> </w:t>
      </w:r>
      <w:r w:rsidRPr="00F07F58">
        <w:rPr>
          <w:rFonts w:ascii="Helvetica" w:eastAsia="Times New Roman" w:hAnsi="Helvetica" w:cs="Arial"/>
          <w:sz w:val="24"/>
          <w:szCs w:val="24"/>
          <w:lang w:eastAsia="en-GB"/>
        </w:rPr>
        <w:t>million for the export of intelligence equipment to Indonesian Ministry of Defence and £1.1</w:t>
      </w:r>
      <w:r w:rsidR="0083090B" w:rsidRPr="00F07F58">
        <w:rPr>
          <w:rFonts w:ascii="Helvetica" w:eastAsia="Times New Roman" w:hAnsi="Helvetica" w:cs="Arial"/>
          <w:sz w:val="24"/>
          <w:szCs w:val="24"/>
          <w:lang w:eastAsia="en-GB"/>
        </w:rPr>
        <w:t xml:space="preserve"> </w:t>
      </w:r>
      <w:r w:rsidRPr="00F07F58">
        <w:rPr>
          <w:rFonts w:ascii="Helvetica" w:eastAsia="Times New Roman" w:hAnsi="Helvetica" w:cs="Arial"/>
          <w:sz w:val="24"/>
          <w:szCs w:val="24"/>
          <w:lang w:eastAsia="en-GB"/>
        </w:rPr>
        <w:t xml:space="preserve">million for the purchase of hovercraft by the Pakistani navy. </w:t>
      </w:r>
    </w:p>
    <w:p w14:paraId="50A9A888" w14:textId="432F6227" w:rsidR="006B457B" w:rsidRPr="00F07F58" w:rsidRDefault="006B457B" w:rsidP="00444E9B">
      <w:pPr>
        <w:spacing w:before="280" w:after="280" w:line="280" w:lineRule="exact"/>
        <w:rPr>
          <w:rFonts w:ascii="Helvetica" w:eastAsia="Times New Roman" w:hAnsi="Helvetica" w:cs="Arial"/>
          <w:sz w:val="24"/>
          <w:szCs w:val="24"/>
          <w:lang w:eastAsia="en-GB"/>
        </w:rPr>
      </w:pPr>
      <w:r w:rsidRPr="00F07F58">
        <w:rPr>
          <w:rFonts w:ascii="Helvetica" w:eastAsia="Times New Roman" w:hAnsi="Helvetica" w:cs="Arial"/>
          <w:bCs/>
          <w:sz w:val="24"/>
          <w:szCs w:val="24"/>
          <w:lang w:eastAsia="en-GB"/>
        </w:rPr>
        <w:t xml:space="preserve">It has supported the sale of weapons later used against the UK. </w:t>
      </w:r>
      <w:r w:rsidRPr="00F07F58">
        <w:rPr>
          <w:rFonts w:ascii="Helvetica" w:eastAsia="Times New Roman" w:hAnsi="Helvetica" w:cs="Arial"/>
          <w:sz w:val="24"/>
          <w:szCs w:val="24"/>
          <w:lang w:eastAsia="en-GB"/>
        </w:rPr>
        <w:t xml:space="preserve">Argentina is still being pursued for debt from loans made </w:t>
      </w:r>
      <w:r w:rsidRPr="00F07F58">
        <w:rPr>
          <w:rFonts w:ascii="Helvetica" w:hAnsi="Helvetica" w:cs="Arial"/>
          <w:sz w:val="24"/>
          <w:szCs w:val="24"/>
        </w:rPr>
        <w:t>to the Argentine military rulers in the 1970s [http://jubileedebt.org.uk/news/unfair-debt-deal-agreed-argentina]. Some of the equipment purchased was later used i</w:t>
      </w:r>
      <w:r w:rsidR="00444E9B" w:rsidRPr="00F07F58">
        <w:rPr>
          <w:rFonts w:ascii="Helvetica" w:hAnsi="Helvetica" w:cs="Arial"/>
          <w:sz w:val="24"/>
          <w:szCs w:val="24"/>
        </w:rPr>
        <w:t>n the invasion of the Falklands.</w:t>
      </w:r>
    </w:p>
    <w:p w14:paraId="17B337C9" w14:textId="77777777" w:rsidR="006B457B" w:rsidRPr="00F07F58" w:rsidRDefault="006B457B" w:rsidP="00444E9B">
      <w:pPr>
        <w:spacing w:before="280" w:after="280" w:line="280" w:lineRule="exact"/>
        <w:rPr>
          <w:rFonts w:ascii="Helvetica" w:eastAsia="Times New Roman" w:hAnsi="Helvetica" w:cs="Arial"/>
          <w:sz w:val="24"/>
          <w:szCs w:val="24"/>
          <w:lang w:eastAsia="en-GB"/>
        </w:rPr>
      </w:pPr>
      <w:r w:rsidRPr="00F07F58">
        <w:rPr>
          <w:rFonts w:ascii="Helvetica" w:eastAsia="Times New Roman" w:hAnsi="Helvetica" w:cs="Arial"/>
          <w:sz w:val="24"/>
          <w:szCs w:val="24"/>
          <w:lang w:eastAsia="en-GB"/>
        </w:rPr>
        <w:lastRenderedPageBreak/>
        <w:t xml:space="preserve">Sometimes the purchasers do not pay; then UKEF must pay instead. In October 2012 UKEF published </w:t>
      </w:r>
      <w:hyperlink r:id="rId14" w:history="1">
        <w:r w:rsidRPr="00F07F58">
          <w:rPr>
            <w:rStyle w:val="Hyperlink"/>
            <w:rFonts w:ascii="Helvetica" w:eastAsia="Times New Roman" w:hAnsi="Helvetica" w:cs="Arial"/>
            <w:color w:val="auto"/>
            <w:sz w:val="24"/>
            <w:szCs w:val="24"/>
            <w:lang w:eastAsia="en-GB"/>
          </w:rPr>
          <w:t>information</w:t>
        </w:r>
      </w:hyperlink>
      <w:r w:rsidRPr="00F07F58">
        <w:rPr>
          <w:rFonts w:ascii="Helvetica" w:eastAsia="Times New Roman" w:hAnsi="Helvetica" w:cs="Arial"/>
          <w:sz w:val="24"/>
          <w:szCs w:val="24"/>
          <w:lang w:eastAsia="en-GB"/>
        </w:rPr>
        <w:t xml:space="preserve"> on Sovereign Debt. This showed debts for military equipment and projects owed by Mubarak's Egypt, Galtieri's Argentina and Saddam Hussein's Iraq. </w:t>
      </w:r>
    </w:p>
    <w:p w14:paraId="516FCD58" w14:textId="77777777" w:rsidR="006B457B" w:rsidRPr="00F07F58" w:rsidRDefault="006B457B" w:rsidP="00444E9B">
      <w:pPr>
        <w:spacing w:before="280" w:after="280" w:line="280" w:lineRule="exact"/>
        <w:rPr>
          <w:rFonts w:ascii="Helvetica" w:hAnsi="Helvetica"/>
          <w:sz w:val="24"/>
          <w:szCs w:val="24"/>
        </w:rPr>
      </w:pPr>
      <w:r w:rsidRPr="00F07F58">
        <w:rPr>
          <w:rFonts w:ascii="Helvetica" w:eastAsia="Times New Roman" w:hAnsi="Helvetica" w:cs="Arial"/>
          <w:sz w:val="24"/>
          <w:szCs w:val="24"/>
          <w:lang w:eastAsia="en-GB"/>
        </w:rPr>
        <w:t xml:space="preserve">CAAT is one of a number of organisations, including Amnesty International UK, The Corner House, Jubilee Debt Campaign and WWF UK, which are working for reform of export finance as </w:t>
      </w:r>
      <w:hyperlink r:id="rId15" w:history="1">
        <w:r w:rsidRPr="00F07F58">
          <w:rPr>
            <w:rStyle w:val="Hyperlink"/>
            <w:rFonts w:ascii="Helvetica" w:eastAsia="Times New Roman" w:hAnsi="Helvetica" w:cs="Arial"/>
            <w:color w:val="auto"/>
            <w:sz w:val="24"/>
            <w:szCs w:val="24"/>
            <w:lang w:eastAsia="en-GB"/>
          </w:rPr>
          <w:t>Clean Up Britain's Exports.</w:t>
        </w:r>
      </w:hyperlink>
      <w:r w:rsidRPr="00F07F58">
        <w:rPr>
          <w:rFonts w:ascii="Helvetica" w:eastAsia="Times New Roman" w:hAnsi="Helvetica" w:cs="Arial"/>
          <w:sz w:val="24"/>
          <w:szCs w:val="24"/>
          <w:lang w:eastAsia="en-GB"/>
        </w:rPr>
        <w:t xml:space="preserve"> </w:t>
      </w:r>
    </w:p>
    <w:p w14:paraId="33F03BF4" w14:textId="77777777" w:rsidR="00FB23EB" w:rsidRPr="00F07F58" w:rsidRDefault="00FB23EB" w:rsidP="00444E9B">
      <w:pPr>
        <w:spacing w:line="280" w:lineRule="exact"/>
        <w:rPr>
          <w:rFonts w:ascii="Helvetica" w:hAnsi="Helvetica" w:cs="Arial"/>
          <w:sz w:val="24"/>
          <w:szCs w:val="24"/>
        </w:rPr>
      </w:pPr>
    </w:p>
    <w:p w14:paraId="2238D450" w14:textId="77777777" w:rsidR="00FB23EB" w:rsidRPr="00F07F58" w:rsidRDefault="00FB23EB" w:rsidP="00444E9B">
      <w:pPr>
        <w:spacing w:line="280" w:lineRule="exact"/>
        <w:rPr>
          <w:rFonts w:ascii="Helvetica" w:hAnsi="Helvetica" w:cs="Arial"/>
          <w:sz w:val="24"/>
          <w:szCs w:val="24"/>
        </w:rPr>
      </w:pPr>
    </w:p>
    <w:p w14:paraId="7935BE47" w14:textId="77777777" w:rsidR="00FB23EB" w:rsidRPr="00F07F58" w:rsidRDefault="00FB23EB" w:rsidP="00444E9B">
      <w:pPr>
        <w:spacing w:line="280" w:lineRule="exact"/>
        <w:rPr>
          <w:rFonts w:ascii="Helvetica" w:hAnsi="Helvetica" w:cs="Arial"/>
          <w:sz w:val="24"/>
          <w:szCs w:val="24"/>
        </w:rPr>
      </w:pPr>
    </w:p>
    <w:p w14:paraId="1DD192FF" w14:textId="77777777" w:rsidR="00FB23EB" w:rsidRPr="00F07F58" w:rsidRDefault="00FB23EB" w:rsidP="00444E9B">
      <w:pPr>
        <w:spacing w:line="280" w:lineRule="exact"/>
        <w:rPr>
          <w:rFonts w:ascii="Helvetica" w:hAnsi="Helvetica" w:cs="Arial"/>
          <w:sz w:val="24"/>
          <w:szCs w:val="24"/>
        </w:rPr>
      </w:pPr>
    </w:p>
    <w:p w14:paraId="0C00F504" w14:textId="77777777" w:rsidR="00FB23EB" w:rsidRPr="00F07F58" w:rsidRDefault="00FB23EB" w:rsidP="00444E9B">
      <w:pPr>
        <w:spacing w:line="280" w:lineRule="exact"/>
        <w:rPr>
          <w:rFonts w:ascii="Helvetica" w:hAnsi="Helvetica" w:cs="Arial"/>
          <w:sz w:val="24"/>
          <w:szCs w:val="24"/>
        </w:rPr>
      </w:pPr>
    </w:p>
    <w:p w14:paraId="1BC44CA8" w14:textId="77777777" w:rsidR="007750F6" w:rsidRPr="00F07F58" w:rsidRDefault="007750F6" w:rsidP="00444E9B">
      <w:pPr>
        <w:spacing w:line="280" w:lineRule="exact"/>
        <w:rPr>
          <w:rFonts w:ascii="Helvetica" w:hAnsi="Helvetica" w:cs="Arial"/>
          <w:sz w:val="24"/>
          <w:szCs w:val="24"/>
        </w:rPr>
      </w:pPr>
    </w:p>
    <w:p w14:paraId="54BD9755" w14:textId="77777777" w:rsidR="007750F6" w:rsidRPr="00F07F58" w:rsidRDefault="007750F6" w:rsidP="00444E9B">
      <w:pPr>
        <w:spacing w:line="280" w:lineRule="exact"/>
        <w:rPr>
          <w:rFonts w:ascii="Helvetica" w:hAnsi="Helvetica" w:cs="Arial"/>
          <w:sz w:val="24"/>
          <w:szCs w:val="24"/>
        </w:rPr>
      </w:pPr>
    </w:p>
    <w:p w14:paraId="08636A9A" w14:textId="77777777" w:rsidR="00165E21" w:rsidRPr="00F07F58" w:rsidRDefault="00165E21" w:rsidP="00444E9B">
      <w:pPr>
        <w:spacing w:line="280" w:lineRule="exact"/>
        <w:rPr>
          <w:rFonts w:ascii="Helvetica" w:hAnsi="Helvetica" w:cs="Arial"/>
          <w:sz w:val="24"/>
          <w:szCs w:val="24"/>
        </w:rPr>
      </w:pPr>
    </w:p>
    <w:p w14:paraId="68FD5DCD" w14:textId="77777777" w:rsidR="00165E21" w:rsidRPr="00F07F58" w:rsidRDefault="00165E21" w:rsidP="00444E9B">
      <w:pPr>
        <w:spacing w:line="280" w:lineRule="exact"/>
        <w:rPr>
          <w:rFonts w:ascii="Helvetica" w:hAnsi="Helvetica" w:cs="Arial"/>
          <w:sz w:val="24"/>
          <w:szCs w:val="24"/>
        </w:rPr>
      </w:pPr>
    </w:p>
    <w:p w14:paraId="5B0462BA" w14:textId="77777777" w:rsidR="00165E21" w:rsidRPr="00F07F58" w:rsidRDefault="00165E21" w:rsidP="00444E9B">
      <w:pPr>
        <w:spacing w:line="280" w:lineRule="exact"/>
        <w:rPr>
          <w:rFonts w:ascii="Helvetica" w:hAnsi="Helvetica" w:cs="Arial"/>
          <w:sz w:val="24"/>
          <w:szCs w:val="24"/>
        </w:rPr>
      </w:pPr>
    </w:p>
    <w:p w14:paraId="524C70EE" w14:textId="77777777" w:rsidR="005A3BD6" w:rsidRPr="00F07F58" w:rsidRDefault="005A3BD6" w:rsidP="00444E9B">
      <w:pPr>
        <w:spacing w:line="280" w:lineRule="exact"/>
        <w:rPr>
          <w:rFonts w:ascii="Helvetica" w:hAnsi="Helvetica" w:cs="Arial"/>
          <w:sz w:val="24"/>
          <w:szCs w:val="24"/>
        </w:rPr>
      </w:pPr>
    </w:p>
    <w:p w14:paraId="599541DC" w14:textId="77777777" w:rsidR="005A3BD6" w:rsidRPr="00F07F58" w:rsidRDefault="005A3BD6" w:rsidP="00444E9B">
      <w:pPr>
        <w:spacing w:line="280" w:lineRule="exact"/>
        <w:rPr>
          <w:rFonts w:ascii="Helvetica" w:hAnsi="Helvetica" w:cs="Arial"/>
          <w:sz w:val="24"/>
          <w:szCs w:val="24"/>
        </w:rPr>
      </w:pPr>
    </w:p>
    <w:p w14:paraId="4E0C883C" w14:textId="77777777" w:rsidR="005A3BD6" w:rsidRPr="00F07F58" w:rsidRDefault="005A3BD6" w:rsidP="00444E9B">
      <w:pPr>
        <w:spacing w:line="280" w:lineRule="exact"/>
        <w:rPr>
          <w:rFonts w:ascii="Helvetica" w:hAnsi="Helvetica" w:cs="Arial"/>
          <w:sz w:val="24"/>
          <w:szCs w:val="24"/>
        </w:rPr>
      </w:pPr>
    </w:p>
    <w:p w14:paraId="51D3548A" w14:textId="77777777" w:rsidR="005A3BD6" w:rsidRPr="00F07F58" w:rsidRDefault="005A3BD6" w:rsidP="00444E9B">
      <w:pPr>
        <w:spacing w:line="280" w:lineRule="exact"/>
        <w:rPr>
          <w:rFonts w:ascii="Helvetica" w:hAnsi="Helvetica" w:cs="Arial"/>
          <w:sz w:val="24"/>
          <w:szCs w:val="24"/>
        </w:rPr>
      </w:pPr>
    </w:p>
    <w:p w14:paraId="52A6CE93" w14:textId="020775E2" w:rsidR="003611C9" w:rsidRPr="00F07F58" w:rsidRDefault="003611C9" w:rsidP="00444E9B">
      <w:pPr>
        <w:spacing w:line="280" w:lineRule="exact"/>
        <w:rPr>
          <w:rFonts w:ascii="Helvetica" w:hAnsi="Helvetica" w:cs="Arial"/>
          <w:sz w:val="24"/>
          <w:szCs w:val="24"/>
        </w:rPr>
      </w:pPr>
    </w:p>
    <w:sectPr w:rsidR="003611C9" w:rsidRPr="00F07F58" w:rsidSect="005029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FF8E7" w14:textId="77777777" w:rsidR="00AB6FD0" w:rsidRDefault="00AB6FD0" w:rsidP="00DA6F00">
      <w:pPr>
        <w:spacing w:after="0" w:line="240" w:lineRule="auto"/>
      </w:pPr>
      <w:r>
        <w:separator/>
      </w:r>
    </w:p>
  </w:endnote>
  <w:endnote w:type="continuationSeparator" w:id="0">
    <w:p w14:paraId="505977AE" w14:textId="77777777" w:rsidR="00AB6FD0" w:rsidRDefault="00AB6FD0" w:rsidP="00DA6F00">
      <w:pPr>
        <w:spacing w:after="0" w:line="240" w:lineRule="auto"/>
      </w:pPr>
      <w:r>
        <w:continuationSeparator/>
      </w:r>
    </w:p>
  </w:endnote>
  <w:endnote w:id="1">
    <w:p w14:paraId="238D830E" w14:textId="6B5051E4" w:rsidR="00AB6FD0" w:rsidRPr="0033366F" w:rsidRDefault="00AB6FD0">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4DE46" w14:textId="77777777" w:rsidR="00AB6FD0" w:rsidRDefault="00AB6FD0" w:rsidP="00DA6F00">
      <w:pPr>
        <w:spacing w:after="0" w:line="240" w:lineRule="auto"/>
      </w:pPr>
      <w:r>
        <w:separator/>
      </w:r>
    </w:p>
  </w:footnote>
  <w:footnote w:type="continuationSeparator" w:id="0">
    <w:p w14:paraId="7AB27B7E" w14:textId="77777777" w:rsidR="00AB6FD0" w:rsidRDefault="00AB6FD0" w:rsidP="00DA6F00">
      <w:pPr>
        <w:spacing w:after="0" w:line="240" w:lineRule="auto"/>
      </w:pPr>
      <w:r>
        <w:continuationSeparator/>
      </w:r>
    </w:p>
  </w:footnote>
  <w:footnote w:id="1">
    <w:p w14:paraId="5983BBAA" w14:textId="77777777" w:rsidR="00AB6FD0" w:rsidRPr="00444E9B" w:rsidRDefault="00AB6FD0" w:rsidP="00FC5837">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Notes of Sir Edward Peacock 1919 – 1934, Vickers Ltd: Records, MS Vickers, Vickers 561, Cambridge University Library, Department of Manuscripts and University Archives.</w:t>
      </w:r>
    </w:p>
  </w:footnote>
  <w:footnote w:id="2">
    <w:p w14:paraId="2417194B" w14:textId="59F22CF9"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Reports Proceedings and Memoranda of the Cabinet Committee on Armament Firms Merger, A.F.C. 27.1, Cabinet Armament Firms Committee, 1927, CAB 27, The National Archives.</w:t>
      </w:r>
    </w:p>
  </w:footnote>
  <w:footnote w:id="3">
    <w:p w14:paraId="2532251E" w14:textId="48BD1E04"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Reports Proceedings and Memoranda of the Cabinet Committee on Armament Firms Merger, Cabinet Armament Firms Committee, July 1927, CAB 27, The National Archives, Contents page.</w:t>
      </w:r>
    </w:p>
  </w:footnote>
  <w:footnote w:id="4">
    <w:p w14:paraId="54F3D814" w14:textId="1E2D5383" w:rsidR="00AB6FD0" w:rsidRPr="00444E9B" w:rsidRDefault="00AB6FD0">
      <w:pPr>
        <w:pStyle w:val="FootnoteText"/>
        <w:rPr>
          <w:rFonts w:ascii="Helvetica" w:hAnsi="Helvetica"/>
          <w:lang w:val="en-US"/>
        </w:rPr>
      </w:pPr>
      <w:r w:rsidRPr="00444E9B">
        <w:rPr>
          <w:rStyle w:val="FootnoteReference"/>
          <w:rFonts w:ascii="Helvetica" w:hAnsi="Helvetica"/>
        </w:rPr>
        <w:footnoteRef/>
      </w:r>
      <w:r w:rsidRPr="00444E9B">
        <w:rPr>
          <w:rFonts w:ascii="Helvetica" w:hAnsi="Helvetica"/>
        </w:rPr>
        <w:t xml:space="preserve"> Notes of Sir Edward Peacock 1919 – 1934, Vickers Ltd: Records, MS Vickers, Vickers 561, Cambridge University Library, Department of Manuscripts and University Archives.</w:t>
      </w:r>
    </w:p>
  </w:footnote>
  <w:footnote w:id="5">
    <w:p w14:paraId="04E08092" w14:textId="7807E8D6"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Reports Proceedings and Memoranda of the Cabinet Committee on Armament Firms Merger, A.F.C. 27.5, Cabinet Armament Firms Committee, Note by the Chancellor of the Exchequer, August 10, 1927, CAB 27, The National Archives. </w:t>
      </w:r>
    </w:p>
  </w:footnote>
  <w:footnote w:id="6">
    <w:p w14:paraId="579AF051" w14:textId="5B95A140"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Reports Proceedings and Memoranda of the Cabinet Committee on Armament Firms Merger, 1927, A.F.C. 27.3, Cabinet Armament Firms Committee, CAB 27, The National Archives.</w:t>
      </w:r>
    </w:p>
  </w:footnote>
  <w:footnote w:id="7">
    <w:p w14:paraId="6358E957" w14:textId="134C7897"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Note by the Secretary of State for Air, July 25, 1927, Reports Proceedings and Memoranda of the Cabinet Committee on Armament Firms Merger (1927), A.F.C. 27.4, CAB 27, The National Archives.</w:t>
      </w:r>
    </w:p>
  </w:footnote>
  <w:footnote w:id="8">
    <w:p w14:paraId="64FC9F39" w14:textId="527E3552"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Vickers and Armstrong Whitworth Memorandum Re Proposed Merger, 2. Merger Proposal, June 22, 1927, Reports Proceedings and Memoranda of the Cabinet Committee on Armament Firms Merger (1927), CAB 27, The National Archives.</w:t>
      </w:r>
    </w:p>
  </w:footnote>
  <w:footnote w:id="9">
    <w:p w14:paraId="4A7527C5" w14:textId="2FD1B6B9" w:rsidR="00AB6FD0" w:rsidRPr="00444E9B" w:rsidRDefault="00AB6FD0" w:rsidP="00263EB4">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Copy of Sir William Plender’s Report, Bases of Arriving at Values of Fixed Assets Vickers Ltd: Records, MS Vickers, Vickers 1238, Cambridge University Library, Department of Manuscripts and University Archives.</w:t>
      </w:r>
    </w:p>
  </w:footnote>
  <w:footnote w:id="10">
    <w:p w14:paraId="0B839726" w14:textId="270B3C30"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Copy of Sir William Plender’s Report, Statement 1, Summary Comparative Figures, Vickers Ltd: Records, MS Vickers, Vickers 1238, Cambridge University Library, Department of Manuscripts and University Archives.</w:t>
      </w:r>
    </w:p>
  </w:footnote>
  <w:footnote w:id="11">
    <w:p w14:paraId="524A3378" w14:textId="16F03429"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Letters to Shareholders and debenture holders, November 18, 1927, Vickers Ltd: Records, MS Vickers, Vickers 1238, Cambridge University Library, Department of Manuscripts and University Archives.</w:t>
      </w:r>
    </w:p>
  </w:footnote>
  <w:footnote w:id="12">
    <w:p w14:paraId="1E484595" w14:textId="6B96B613" w:rsidR="00AB6FD0" w:rsidRPr="00444E9B" w:rsidRDefault="00AB6FD0" w:rsidP="000B61FC">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Chairman’s Speech Gen. The Hon Sir Herbert A. Lawrence GCB, November 28, 1927, Vickers Ltd: Records, MS Vickers, Vickers 1238, (Speeches at Meetings), Cambridge University Library, Department of Manuscripts and University Archives.</w:t>
      </w:r>
    </w:p>
  </w:footnote>
  <w:footnote w:id="13">
    <w:p w14:paraId="5C3FDE5E" w14:textId="4D9F4BB3" w:rsidR="00AB6FD0" w:rsidRPr="00444E9B" w:rsidRDefault="00AB6FD0" w:rsidP="000B61FC">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Summary of Principal Clauses of Provisional Agreement for Amalgamation, October 31, 1927, Vickers Ltd: Records, MS Vickers, Vickers 1238, Cambridge University Library, Department of Manuscripts and University Archives.</w:t>
      </w:r>
    </w:p>
  </w:footnote>
  <w:footnote w:id="14">
    <w:p w14:paraId="03A551F2" w14:textId="6F14EC1E"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Letter from Winston Churchill to the Governor, July 27, 1927, Reports Proceedings and Memoranda of the Cabinet Committee on Armament Firms Merger (1927), A.F.C. 27.5, Cabinet Armament Firms Committee, CAB 27, The National Archives.</w:t>
      </w:r>
    </w:p>
  </w:footnote>
  <w:footnote w:id="15">
    <w:p w14:paraId="4CFDF78E" w14:textId="4DF0E200" w:rsidR="00AB6FD0" w:rsidRPr="00444E9B" w:rsidRDefault="00AB6FD0">
      <w:pPr>
        <w:pStyle w:val="FootnoteText"/>
        <w:rPr>
          <w:rFonts w:ascii="Helvetica" w:hAnsi="Helvetica"/>
          <w:lang w:val="en-US"/>
        </w:rPr>
      </w:pPr>
      <w:r w:rsidRPr="00444E9B">
        <w:rPr>
          <w:rStyle w:val="FootnoteReference"/>
          <w:rFonts w:ascii="Helvetica" w:hAnsi="Helvetica"/>
        </w:rPr>
        <w:footnoteRef/>
      </w:r>
      <w:r w:rsidRPr="00444E9B">
        <w:rPr>
          <w:rFonts w:ascii="Helvetica" w:hAnsi="Helvetica"/>
        </w:rPr>
        <w:t xml:space="preserve"> </w:t>
      </w:r>
      <w:r w:rsidRPr="00444E9B">
        <w:rPr>
          <w:rFonts w:ascii="Helvetica" w:hAnsi="Helvetica"/>
        </w:rPr>
        <w:fldChar w:fldCharType="begin"/>
      </w:r>
      <w:r w:rsidRPr="00444E9B">
        <w:rPr>
          <w:rFonts w:ascii="Helvetica" w:hAnsi="Helvetica"/>
        </w:rPr>
        <w:instrText xml:space="preserve"> ADDIN ZOTERO_ITEM CSL_CITATION {"citationID":"OunZWK6I","properties":{"formattedCitation":"{\\rtf Daniel Weinbren, \\uc0\\u8220{}The `Peace Arsenal\\uc0\\u8217{} Scheme: The Campaign for Non-Munitions Work at the Royal Ordnance Factories, Woolwich, after the First World War\\uc0\\u8221{} (Thames Polytechnic, 1990).}","plainCitation":"Daniel Weinbren, “The `Peace Arsenal’ Scheme: The Campaign for Non-Munitions Work at the Royal Ordnance Factories, Woolwich, after the First World War” (Thames Polytechnic, 1990)."},"citationItems":[{"id":588,"uris":["http://zotero.org/users/local/W9CI6y6F/items/I2DXGJM8"],"uri":["http://zotero.org/users/local/W9CI6y6F/items/I2DXGJM8"],"itemData":{"id":588,"type":"thesis","title":"The `Peace Arsenal' scheme: the campaign for non-munitions work at the Royal Ordnance Factories, Woolwich, after the First World War","publisher":"Thames Polytechnic","author":[{"family":"Weinbren","given":"Daniel"}],"issued":{"date-parts":[["1990"]]}}}],"schema":"https://github.com/citation-style-language/schema/raw/master/csl-citation.json"} </w:instrText>
      </w:r>
      <w:r w:rsidRPr="00444E9B">
        <w:rPr>
          <w:rFonts w:ascii="Helvetica" w:hAnsi="Helvetica"/>
        </w:rPr>
        <w:fldChar w:fldCharType="separate"/>
      </w:r>
      <w:r w:rsidRPr="00444E9B">
        <w:rPr>
          <w:rFonts w:ascii="Helvetica" w:hAnsi="Helvetica"/>
          <w:lang w:val="en-US"/>
        </w:rPr>
        <w:t>Daniel Weinbren, “The `Peace Arsenal’ Scheme: The Campaign for Non-Munitions Work at the Royal Ordnance Factories, Woolwich, after the First World War” (Thames Polytechnic, 1990).</w:t>
      </w:r>
      <w:r w:rsidRPr="00444E9B">
        <w:rPr>
          <w:rFonts w:ascii="Helvetica" w:hAnsi="Helvetica"/>
        </w:rPr>
        <w:fldChar w:fldCharType="end"/>
      </w:r>
    </w:p>
  </w:footnote>
  <w:footnote w:id="16">
    <w:p w14:paraId="78457219" w14:textId="4D9D166A" w:rsidR="00AB6FD0" w:rsidRPr="00444E9B" w:rsidRDefault="00AB6FD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Sun Insurance Office Ltd, Contract of Insurance, Vickers Ltd: Records, MS Vickers, Vickers 561, Extract from board Minutes (20.5.36) 1513, Cambridge University Library, Department of Manuscripts and University Archives.</w:t>
      </w:r>
    </w:p>
  </w:footnote>
  <w:footnote w:id="17">
    <w:p w14:paraId="3EE0485E" w14:textId="073553DD" w:rsidR="00AB6FD0" w:rsidRPr="00444E9B" w:rsidRDefault="00AB6FD0" w:rsidP="00502930">
      <w:pPr>
        <w:pStyle w:val="FootnoteText"/>
        <w:rPr>
          <w:rFonts w:ascii="Helvetica" w:hAnsi="Helvetica"/>
        </w:rPr>
      </w:pPr>
      <w:r w:rsidRPr="00444E9B">
        <w:rPr>
          <w:rStyle w:val="FootnoteReference"/>
          <w:rFonts w:ascii="Helvetica" w:hAnsi="Helvetica"/>
        </w:rPr>
        <w:footnoteRef/>
      </w:r>
      <w:r w:rsidRPr="00444E9B">
        <w:rPr>
          <w:rFonts w:ascii="Helvetica" w:hAnsi="Helvetica"/>
        </w:rPr>
        <w:t xml:space="preserve"> Vickers and Armstrong Whitworth Memorandum Re Proposed Merger, 4. Merger Proposal, June 22, 1927, Reports Proceedings and Memoranda of the Cabinet Committee on Armament Firms Merger (1927), CAB 27, The National Archives.</w:t>
      </w:r>
    </w:p>
  </w:footnote>
  <w:footnote w:id="18">
    <w:p w14:paraId="38FACC95" w14:textId="77777777" w:rsidR="00AB6FD0" w:rsidRPr="004C6E2B" w:rsidRDefault="00AB6FD0" w:rsidP="001A7FF6">
      <w:pPr>
        <w:pStyle w:val="FootnoteText"/>
        <w:tabs>
          <w:tab w:val="left" w:pos="6096"/>
        </w:tabs>
        <w:rPr>
          <w:lang w:val="en-US"/>
        </w:rPr>
      </w:pPr>
      <w:r w:rsidRPr="00444E9B">
        <w:rPr>
          <w:rStyle w:val="FootnoteReference"/>
          <w:rFonts w:ascii="Helvetica" w:hAnsi="Helvetica"/>
        </w:rPr>
        <w:footnoteRef/>
      </w:r>
      <w:r w:rsidRPr="00444E9B">
        <w:rPr>
          <w:rFonts w:ascii="Helvetica" w:hAnsi="Helvetica"/>
        </w:rPr>
        <w:t xml:space="preserve"> Barnaby Pace, </w:t>
      </w:r>
      <w:r w:rsidRPr="00444E9B">
        <w:rPr>
          <w:rFonts w:ascii="Helvetica" w:hAnsi="Helvetica"/>
          <w:i/>
          <w:iCs/>
        </w:rPr>
        <w:t>BAE Companies in the Inter-War Period</w:t>
      </w:r>
      <w:r w:rsidRPr="00444E9B">
        <w:rPr>
          <w:rFonts w:ascii="Helvetica" w:hAnsi="Helvetica"/>
        </w:rPr>
        <w:t xml:space="preserve"> (unpublished research report).</w:t>
      </w:r>
      <w:r>
        <w:rPr>
          <w:sz w:val="23"/>
          <w:szCs w:val="23"/>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F17D0"/>
    <w:multiLevelType w:val="hybridMultilevel"/>
    <w:tmpl w:val="528C3A66"/>
    <w:lvl w:ilvl="0" w:tplc="E9EC97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A9"/>
    <w:rsid w:val="00015693"/>
    <w:rsid w:val="000157F2"/>
    <w:rsid w:val="000405EF"/>
    <w:rsid w:val="00040E82"/>
    <w:rsid w:val="00044CFF"/>
    <w:rsid w:val="00080C5F"/>
    <w:rsid w:val="0008151D"/>
    <w:rsid w:val="00090C05"/>
    <w:rsid w:val="0009207F"/>
    <w:rsid w:val="000B61FC"/>
    <w:rsid w:val="000C2693"/>
    <w:rsid w:val="000D23F1"/>
    <w:rsid w:val="000E3BEC"/>
    <w:rsid w:val="00100483"/>
    <w:rsid w:val="001009FD"/>
    <w:rsid w:val="0014548C"/>
    <w:rsid w:val="00156A6C"/>
    <w:rsid w:val="00165E21"/>
    <w:rsid w:val="00174538"/>
    <w:rsid w:val="00175500"/>
    <w:rsid w:val="0018115B"/>
    <w:rsid w:val="001A6F9D"/>
    <w:rsid w:val="001A7FF6"/>
    <w:rsid w:val="001E0304"/>
    <w:rsid w:val="001E69AD"/>
    <w:rsid w:val="001E7078"/>
    <w:rsid w:val="001F3752"/>
    <w:rsid w:val="001F5A9D"/>
    <w:rsid w:val="00207C76"/>
    <w:rsid w:val="00215623"/>
    <w:rsid w:val="00251B5D"/>
    <w:rsid w:val="00257970"/>
    <w:rsid w:val="00263EB4"/>
    <w:rsid w:val="00273382"/>
    <w:rsid w:val="002762C8"/>
    <w:rsid w:val="00276735"/>
    <w:rsid w:val="002A6526"/>
    <w:rsid w:val="002B0136"/>
    <w:rsid w:val="002B2B8D"/>
    <w:rsid w:val="002D2CA2"/>
    <w:rsid w:val="002E32B2"/>
    <w:rsid w:val="002F7DA5"/>
    <w:rsid w:val="003127AD"/>
    <w:rsid w:val="0033366F"/>
    <w:rsid w:val="00360E55"/>
    <w:rsid w:val="003611C9"/>
    <w:rsid w:val="00371E89"/>
    <w:rsid w:val="00373166"/>
    <w:rsid w:val="00393DDE"/>
    <w:rsid w:val="00396E67"/>
    <w:rsid w:val="003D4EF1"/>
    <w:rsid w:val="003D661F"/>
    <w:rsid w:val="003D6E71"/>
    <w:rsid w:val="003F281A"/>
    <w:rsid w:val="004238DA"/>
    <w:rsid w:val="00444E9B"/>
    <w:rsid w:val="004457EE"/>
    <w:rsid w:val="00472F4D"/>
    <w:rsid w:val="00473231"/>
    <w:rsid w:val="00477E79"/>
    <w:rsid w:val="00483C6F"/>
    <w:rsid w:val="00492483"/>
    <w:rsid w:val="004A050D"/>
    <w:rsid w:val="004C3F41"/>
    <w:rsid w:val="004C4FE2"/>
    <w:rsid w:val="004C6E2B"/>
    <w:rsid w:val="00502930"/>
    <w:rsid w:val="00541E88"/>
    <w:rsid w:val="00550BD5"/>
    <w:rsid w:val="00567C5A"/>
    <w:rsid w:val="00580927"/>
    <w:rsid w:val="005911AB"/>
    <w:rsid w:val="005A3BD6"/>
    <w:rsid w:val="005B204A"/>
    <w:rsid w:val="005B5F4A"/>
    <w:rsid w:val="005B6C2A"/>
    <w:rsid w:val="005D0049"/>
    <w:rsid w:val="005D3E24"/>
    <w:rsid w:val="005E0E46"/>
    <w:rsid w:val="005F03BB"/>
    <w:rsid w:val="005F5B38"/>
    <w:rsid w:val="00600928"/>
    <w:rsid w:val="00606754"/>
    <w:rsid w:val="00632B62"/>
    <w:rsid w:val="00685398"/>
    <w:rsid w:val="00687366"/>
    <w:rsid w:val="006B29FF"/>
    <w:rsid w:val="006B457B"/>
    <w:rsid w:val="006D3D09"/>
    <w:rsid w:val="006F151A"/>
    <w:rsid w:val="00704258"/>
    <w:rsid w:val="00706DF9"/>
    <w:rsid w:val="007369D6"/>
    <w:rsid w:val="00737D52"/>
    <w:rsid w:val="00755D50"/>
    <w:rsid w:val="00761AC4"/>
    <w:rsid w:val="007750F6"/>
    <w:rsid w:val="00777CEB"/>
    <w:rsid w:val="007911C4"/>
    <w:rsid w:val="007971BD"/>
    <w:rsid w:val="007A4123"/>
    <w:rsid w:val="007C379E"/>
    <w:rsid w:val="007D098C"/>
    <w:rsid w:val="007D1A6F"/>
    <w:rsid w:val="007D287F"/>
    <w:rsid w:val="007F24BF"/>
    <w:rsid w:val="007F2C38"/>
    <w:rsid w:val="007F7531"/>
    <w:rsid w:val="008006B9"/>
    <w:rsid w:val="0081370A"/>
    <w:rsid w:val="00821A25"/>
    <w:rsid w:val="00826103"/>
    <w:rsid w:val="0083090B"/>
    <w:rsid w:val="00833713"/>
    <w:rsid w:val="008379E0"/>
    <w:rsid w:val="00854E3D"/>
    <w:rsid w:val="00856F1B"/>
    <w:rsid w:val="00882A7A"/>
    <w:rsid w:val="008A4EF7"/>
    <w:rsid w:val="008B2F1A"/>
    <w:rsid w:val="008C2F86"/>
    <w:rsid w:val="008C42D5"/>
    <w:rsid w:val="008C7D11"/>
    <w:rsid w:val="008D5E22"/>
    <w:rsid w:val="008F1ACE"/>
    <w:rsid w:val="008F2BE5"/>
    <w:rsid w:val="008F2D78"/>
    <w:rsid w:val="008F6546"/>
    <w:rsid w:val="0092710B"/>
    <w:rsid w:val="00927291"/>
    <w:rsid w:val="00944E96"/>
    <w:rsid w:val="00947FAE"/>
    <w:rsid w:val="00966CE6"/>
    <w:rsid w:val="00976A16"/>
    <w:rsid w:val="009911FB"/>
    <w:rsid w:val="009C0799"/>
    <w:rsid w:val="009C4404"/>
    <w:rsid w:val="009C4E08"/>
    <w:rsid w:val="009E10CA"/>
    <w:rsid w:val="009E4982"/>
    <w:rsid w:val="009E4D33"/>
    <w:rsid w:val="00A440ED"/>
    <w:rsid w:val="00A44777"/>
    <w:rsid w:val="00A4775F"/>
    <w:rsid w:val="00A56BDF"/>
    <w:rsid w:val="00A81682"/>
    <w:rsid w:val="00A855B9"/>
    <w:rsid w:val="00A8701E"/>
    <w:rsid w:val="00A922C9"/>
    <w:rsid w:val="00AA011A"/>
    <w:rsid w:val="00AB25B8"/>
    <w:rsid w:val="00AB688E"/>
    <w:rsid w:val="00AB6FD0"/>
    <w:rsid w:val="00AC14AD"/>
    <w:rsid w:val="00AF1D70"/>
    <w:rsid w:val="00B06077"/>
    <w:rsid w:val="00B11EE1"/>
    <w:rsid w:val="00B12694"/>
    <w:rsid w:val="00B13D4D"/>
    <w:rsid w:val="00B2284F"/>
    <w:rsid w:val="00B33022"/>
    <w:rsid w:val="00B34A7C"/>
    <w:rsid w:val="00B75C2F"/>
    <w:rsid w:val="00B85C5A"/>
    <w:rsid w:val="00BA4CF5"/>
    <w:rsid w:val="00BD7D6B"/>
    <w:rsid w:val="00BF3F6D"/>
    <w:rsid w:val="00BF5E42"/>
    <w:rsid w:val="00C13BC0"/>
    <w:rsid w:val="00C17FA9"/>
    <w:rsid w:val="00C22E20"/>
    <w:rsid w:val="00C52DCA"/>
    <w:rsid w:val="00C62BC0"/>
    <w:rsid w:val="00C66FB1"/>
    <w:rsid w:val="00C84B7A"/>
    <w:rsid w:val="00CA2165"/>
    <w:rsid w:val="00CC1BFD"/>
    <w:rsid w:val="00CD1AA7"/>
    <w:rsid w:val="00CF1371"/>
    <w:rsid w:val="00CF2A82"/>
    <w:rsid w:val="00CF32BE"/>
    <w:rsid w:val="00D0031F"/>
    <w:rsid w:val="00D27A3D"/>
    <w:rsid w:val="00D313C5"/>
    <w:rsid w:val="00D4145A"/>
    <w:rsid w:val="00D473DB"/>
    <w:rsid w:val="00D50C1C"/>
    <w:rsid w:val="00D65358"/>
    <w:rsid w:val="00DA6F00"/>
    <w:rsid w:val="00DC7362"/>
    <w:rsid w:val="00DD1DDC"/>
    <w:rsid w:val="00E02DF3"/>
    <w:rsid w:val="00E26892"/>
    <w:rsid w:val="00E449E6"/>
    <w:rsid w:val="00E460AA"/>
    <w:rsid w:val="00E74412"/>
    <w:rsid w:val="00E7469C"/>
    <w:rsid w:val="00E92A2B"/>
    <w:rsid w:val="00E95CBD"/>
    <w:rsid w:val="00EA7340"/>
    <w:rsid w:val="00EB7E14"/>
    <w:rsid w:val="00ED3D80"/>
    <w:rsid w:val="00F07028"/>
    <w:rsid w:val="00F07F58"/>
    <w:rsid w:val="00F14203"/>
    <w:rsid w:val="00F44024"/>
    <w:rsid w:val="00FA737F"/>
    <w:rsid w:val="00FB23EB"/>
    <w:rsid w:val="00FB37D3"/>
    <w:rsid w:val="00FC5837"/>
    <w:rsid w:val="00FC6752"/>
    <w:rsid w:val="00FC7B2C"/>
    <w:rsid w:val="00FD62FD"/>
    <w:rsid w:val="00FE0026"/>
    <w:rsid w:val="00FE762A"/>
    <w:rsid w:val="00FE79E7"/>
    <w:rsid w:val="00FF4971"/>
    <w:rsid w:val="00FF6389"/>
    <w:rsid w:val="00FF68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1F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A6F00"/>
    <w:pPr>
      <w:spacing w:after="0" w:line="240" w:lineRule="auto"/>
    </w:pPr>
    <w:rPr>
      <w:sz w:val="20"/>
      <w:szCs w:val="20"/>
    </w:rPr>
  </w:style>
  <w:style w:type="character" w:customStyle="1" w:styleId="FootnoteTextChar">
    <w:name w:val="Footnote Text Char"/>
    <w:basedOn w:val="DefaultParagraphFont"/>
    <w:link w:val="FootnoteText"/>
    <w:uiPriority w:val="99"/>
    <w:rsid w:val="00DA6F00"/>
    <w:rPr>
      <w:sz w:val="20"/>
      <w:szCs w:val="20"/>
    </w:rPr>
  </w:style>
  <w:style w:type="character" w:styleId="FootnoteReference">
    <w:name w:val="footnote reference"/>
    <w:basedOn w:val="DefaultParagraphFont"/>
    <w:uiPriority w:val="99"/>
    <w:unhideWhenUsed/>
    <w:rsid w:val="00DA6F00"/>
    <w:rPr>
      <w:vertAlign w:val="superscript"/>
    </w:rPr>
  </w:style>
  <w:style w:type="character" w:styleId="Hyperlink">
    <w:name w:val="Hyperlink"/>
    <w:basedOn w:val="DefaultParagraphFont"/>
    <w:uiPriority w:val="99"/>
    <w:unhideWhenUsed/>
    <w:rsid w:val="00DA6F00"/>
    <w:rPr>
      <w:color w:val="0000FF" w:themeColor="hyperlink"/>
      <w:u w:val="single"/>
    </w:rPr>
  </w:style>
  <w:style w:type="table" w:styleId="TableGrid">
    <w:name w:val="Table Grid"/>
    <w:basedOn w:val="TableNormal"/>
    <w:uiPriority w:val="59"/>
    <w:rsid w:val="00FB2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358"/>
    <w:rPr>
      <w:rFonts w:ascii="Tahoma" w:hAnsi="Tahoma" w:cs="Tahoma"/>
      <w:sz w:val="16"/>
      <w:szCs w:val="16"/>
    </w:rPr>
  </w:style>
  <w:style w:type="paragraph" w:styleId="Caption">
    <w:name w:val="caption"/>
    <w:basedOn w:val="Normal"/>
    <w:next w:val="Normal"/>
    <w:uiPriority w:val="35"/>
    <w:unhideWhenUsed/>
    <w:qFormat/>
    <w:rsid w:val="00567C5A"/>
    <w:pPr>
      <w:spacing w:line="240" w:lineRule="auto"/>
    </w:pPr>
    <w:rPr>
      <w:b/>
      <w:bCs/>
      <w:color w:val="4F81BD" w:themeColor="accent1"/>
      <w:sz w:val="18"/>
      <w:szCs w:val="18"/>
    </w:rPr>
  </w:style>
  <w:style w:type="paragraph" w:styleId="ListParagraph">
    <w:name w:val="List Paragraph"/>
    <w:basedOn w:val="Normal"/>
    <w:uiPriority w:val="34"/>
    <w:qFormat/>
    <w:rsid w:val="00FA737F"/>
    <w:pPr>
      <w:ind w:left="720"/>
      <w:contextualSpacing/>
    </w:pPr>
  </w:style>
  <w:style w:type="character" w:styleId="CommentReference">
    <w:name w:val="annotation reference"/>
    <w:basedOn w:val="DefaultParagraphFont"/>
    <w:uiPriority w:val="99"/>
    <w:semiHidden/>
    <w:unhideWhenUsed/>
    <w:rsid w:val="0081370A"/>
    <w:rPr>
      <w:sz w:val="18"/>
      <w:szCs w:val="18"/>
    </w:rPr>
  </w:style>
  <w:style w:type="paragraph" w:styleId="CommentText">
    <w:name w:val="annotation text"/>
    <w:basedOn w:val="Normal"/>
    <w:link w:val="CommentTextChar"/>
    <w:uiPriority w:val="99"/>
    <w:semiHidden/>
    <w:unhideWhenUsed/>
    <w:rsid w:val="0081370A"/>
    <w:pPr>
      <w:spacing w:line="240" w:lineRule="auto"/>
    </w:pPr>
    <w:rPr>
      <w:sz w:val="24"/>
      <w:szCs w:val="24"/>
    </w:rPr>
  </w:style>
  <w:style w:type="character" w:customStyle="1" w:styleId="CommentTextChar">
    <w:name w:val="Comment Text Char"/>
    <w:basedOn w:val="DefaultParagraphFont"/>
    <w:link w:val="CommentText"/>
    <w:uiPriority w:val="99"/>
    <w:semiHidden/>
    <w:rsid w:val="0081370A"/>
    <w:rPr>
      <w:sz w:val="24"/>
      <w:szCs w:val="24"/>
    </w:rPr>
  </w:style>
  <w:style w:type="paragraph" w:styleId="CommentSubject">
    <w:name w:val="annotation subject"/>
    <w:basedOn w:val="CommentText"/>
    <w:next w:val="CommentText"/>
    <w:link w:val="CommentSubjectChar"/>
    <w:uiPriority w:val="99"/>
    <w:semiHidden/>
    <w:unhideWhenUsed/>
    <w:rsid w:val="0081370A"/>
    <w:rPr>
      <w:b/>
      <w:bCs/>
      <w:sz w:val="20"/>
      <w:szCs w:val="20"/>
    </w:rPr>
  </w:style>
  <w:style w:type="character" w:customStyle="1" w:styleId="CommentSubjectChar">
    <w:name w:val="Comment Subject Char"/>
    <w:basedOn w:val="CommentTextChar"/>
    <w:link w:val="CommentSubject"/>
    <w:uiPriority w:val="99"/>
    <w:semiHidden/>
    <w:rsid w:val="0081370A"/>
    <w:rPr>
      <w:b/>
      <w:bCs/>
      <w:sz w:val="20"/>
      <w:szCs w:val="20"/>
    </w:rPr>
  </w:style>
  <w:style w:type="paragraph" w:styleId="Header">
    <w:name w:val="header"/>
    <w:basedOn w:val="Normal"/>
    <w:link w:val="HeaderChar"/>
    <w:uiPriority w:val="99"/>
    <w:unhideWhenUsed/>
    <w:rsid w:val="004C3F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3F41"/>
  </w:style>
  <w:style w:type="paragraph" w:styleId="Footer">
    <w:name w:val="footer"/>
    <w:basedOn w:val="Normal"/>
    <w:link w:val="FooterChar"/>
    <w:uiPriority w:val="99"/>
    <w:unhideWhenUsed/>
    <w:rsid w:val="004C3F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3F41"/>
  </w:style>
  <w:style w:type="paragraph" w:styleId="EndnoteText">
    <w:name w:val="endnote text"/>
    <w:basedOn w:val="Normal"/>
    <w:link w:val="EndnoteTextChar"/>
    <w:uiPriority w:val="99"/>
    <w:unhideWhenUsed/>
    <w:rsid w:val="00502930"/>
    <w:pPr>
      <w:spacing w:after="0" w:line="240" w:lineRule="auto"/>
    </w:pPr>
    <w:rPr>
      <w:sz w:val="24"/>
      <w:szCs w:val="24"/>
    </w:rPr>
  </w:style>
  <w:style w:type="character" w:customStyle="1" w:styleId="EndnoteTextChar">
    <w:name w:val="Endnote Text Char"/>
    <w:basedOn w:val="DefaultParagraphFont"/>
    <w:link w:val="EndnoteText"/>
    <w:uiPriority w:val="99"/>
    <w:rsid w:val="00502930"/>
    <w:rPr>
      <w:sz w:val="24"/>
      <w:szCs w:val="24"/>
    </w:rPr>
  </w:style>
  <w:style w:type="character" w:styleId="EndnoteReference">
    <w:name w:val="endnote reference"/>
    <w:basedOn w:val="DefaultParagraphFont"/>
    <w:uiPriority w:val="99"/>
    <w:unhideWhenUsed/>
    <w:rsid w:val="00502930"/>
    <w:rPr>
      <w:vertAlign w:val="superscript"/>
    </w:rPr>
  </w:style>
  <w:style w:type="paragraph" w:styleId="NoSpacing">
    <w:name w:val="No Spacing"/>
    <w:uiPriority w:val="1"/>
    <w:qFormat/>
    <w:rsid w:val="00502930"/>
    <w:pPr>
      <w:spacing w:after="0" w:line="240" w:lineRule="auto"/>
    </w:pPr>
  </w:style>
  <w:style w:type="paragraph" w:styleId="Revision">
    <w:name w:val="Revision"/>
    <w:hidden/>
    <w:uiPriority w:val="99"/>
    <w:semiHidden/>
    <w:rsid w:val="0092729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A6F00"/>
    <w:pPr>
      <w:spacing w:after="0" w:line="240" w:lineRule="auto"/>
    </w:pPr>
    <w:rPr>
      <w:sz w:val="20"/>
      <w:szCs w:val="20"/>
    </w:rPr>
  </w:style>
  <w:style w:type="character" w:customStyle="1" w:styleId="FootnoteTextChar">
    <w:name w:val="Footnote Text Char"/>
    <w:basedOn w:val="DefaultParagraphFont"/>
    <w:link w:val="FootnoteText"/>
    <w:uiPriority w:val="99"/>
    <w:rsid w:val="00DA6F00"/>
    <w:rPr>
      <w:sz w:val="20"/>
      <w:szCs w:val="20"/>
    </w:rPr>
  </w:style>
  <w:style w:type="character" w:styleId="FootnoteReference">
    <w:name w:val="footnote reference"/>
    <w:basedOn w:val="DefaultParagraphFont"/>
    <w:uiPriority w:val="99"/>
    <w:unhideWhenUsed/>
    <w:rsid w:val="00DA6F00"/>
    <w:rPr>
      <w:vertAlign w:val="superscript"/>
    </w:rPr>
  </w:style>
  <w:style w:type="character" w:styleId="Hyperlink">
    <w:name w:val="Hyperlink"/>
    <w:basedOn w:val="DefaultParagraphFont"/>
    <w:uiPriority w:val="99"/>
    <w:unhideWhenUsed/>
    <w:rsid w:val="00DA6F00"/>
    <w:rPr>
      <w:color w:val="0000FF" w:themeColor="hyperlink"/>
      <w:u w:val="single"/>
    </w:rPr>
  </w:style>
  <w:style w:type="table" w:styleId="TableGrid">
    <w:name w:val="Table Grid"/>
    <w:basedOn w:val="TableNormal"/>
    <w:uiPriority w:val="59"/>
    <w:rsid w:val="00FB2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358"/>
    <w:rPr>
      <w:rFonts w:ascii="Tahoma" w:hAnsi="Tahoma" w:cs="Tahoma"/>
      <w:sz w:val="16"/>
      <w:szCs w:val="16"/>
    </w:rPr>
  </w:style>
  <w:style w:type="paragraph" w:styleId="Caption">
    <w:name w:val="caption"/>
    <w:basedOn w:val="Normal"/>
    <w:next w:val="Normal"/>
    <w:uiPriority w:val="35"/>
    <w:unhideWhenUsed/>
    <w:qFormat/>
    <w:rsid w:val="00567C5A"/>
    <w:pPr>
      <w:spacing w:line="240" w:lineRule="auto"/>
    </w:pPr>
    <w:rPr>
      <w:b/>
      <w:bCs/>
      <w:color w:val="4F81BD" w:themeColor="accent1"/>
      <w:sz w:val="18"/>
      <w:szCs w:val="18"/>
    </w:rPr>
  </w:style>
  <w:style w:type="paragraph" w:styleId="ListParagraph">
    <w:name w:val="List Paragraph"/>
    <w:basedOn w:val="Normal"/>
    <w:uiPriority w:val="34"/>
    <w:qFormat/>
    <w:rsid w:val="00FA737F"/>
    <w:pPr>
      <w:ind w:left="720"/>
      <w:contextualSpacing/>
    </w:pPr>
  </w:style>
  <w:style w:type="character" w:styleId="CommentReference">
    <w:name w:val="annotation reference"/>
    <w:basedOn w:val="DefaultParagraphFont"/>
    <w:uiPriority w:val="99"/>
    <w:semiHidden/>
    <w:unhideWhenUsed/>
    <w:rsid w:val="0081370A"/>
    <w:rPr>
      <w:sz w:val="18"/>
      <w:szCs w:val="18"/>
    </w:rPr>
  </w:style>
  <w:style w:type="paragraph" w:styleId="CommentText">
    <w:name w:val="annotation text"/>
    <w:basedOn w:val="Normal"/>
    <w:link w:val="CommentTextChar"/>
    <w:uiPriority w:val="99"/>
    <w:semiHidden/>
    <w:unhideWhenUsed/>
    <w:rsid w:val="0081370A"/>
    <w:pPr>
      <w:spacing w:line="240" w:lineRule="auto"/>
    </w:pPr>
    <w:rPr>
      <w:sz w:val="24"/>
      <w:szCs w:val="24"/>
    </w:rPr>
  </w:style>
  <w:style w:type="character" w:customStyle="1" w:styleId="CommentTextChar">
    <w:name w:val="Comment Text Char"/>
    <w:basedOn w:val="DefaultParagraphFont"/>
    <w:link w:val="CommentText"/>
    <w:uiPriority w:val="99"/>
    <w:semiHidden/>
    <w:rsid w:val="0081370A"/>
    <w:rPr>
      <w:sz w:val="24"/>
      <w:szCs w:val="24"/>
    </w:rPr>
  </w:style>
  <w:style w:type="paragraph" w:styleId="CommentSubject">
    <w:name w:val="annotation subject"/>
    <w:basedOn w:val="CommentText"/>
    <w:next w:val="CommentText"/>
    <w:link w:val="CommentSubjectChar"/>
    <w:uiPriority w:val="99"/>
    <w:semiHidden/>
    <w:unhideWhenUsed/>
    <w:rsid w:val="0081370A"/>
    <w:rPr>
      <w:b/>
      <w:bCs/>
      <w:sz w:val="20"/>
      <w:szCs w:val="20"/>
    </w:rPr>
  </w:style>
  <w:style w:type="character" w:customStyle="1" w:styleId="CommentSubjectChar">
    <w:name w:val="Comment Subject Char"/>
    <w:basedOn w:val="CommentTextChar"/>
    <w:link w:val="CommentSubject"/>
    <w:uiPriority w:val="99"/>
    <w:semiHidden/>
    <w:rsid w:val="0081370A"/>
    <w:rPr>
      <w:b/>
      <w:bCs/>
      <w:sz w:val="20"/>
      <w:szCs w:val="20"/>
    </w:rPr>
  </w:style>
  <w:style w:type="paragraph" w:styleId="Header">
    <w:name w:val="header"/>
    <w:basedOn w:val="Normal"/>
    <w:link w:val="HeaderChar"/>
    <w:uiPriority w:val="99"/>
    <w:unhideWhenUsed/>
    <w:rsid w:val="004C3F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3F41"/>
  </w:style>
  <w:style w:type="paragraph" w:styleId="Footer">
    <w:name w:val="footer"/>
    <w:basedOn w:val="Normal"/>
    <w:link w:val="FooterChar"/>
    <w:uiPriority w:val="99"/>
    <w:unhideWhenUsed/>
    <w:rsid w:val="004C3F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3F41"/>
  </w:style>
  <w:style w:type="paragraph" w:styleId="EndnoteText">
    <w:name w:val="endnote text"/>
    <w:basedOn w:val="Normal"/>
    <w:link w:val="EndnoteTextChar"/>
    <w:uiPriority w:val="99"/>
    <w:unhideWhenUsed/>
    <w:rsid w:val="00502930"/>
    <w:pPr>
      <w:spacing w:after="0" w:line="240" w:lineRule="auto"/>
    </w:pPr>
    <w:rPr>
      <w:sz w:val="24"/>
      <w:szCs w:val="24"/>
    </w:rPr>
  </w:style>
  <w:style w:type="character" w:customStyle="1" w:styleId="EndnoteTextChar">
    <w:name w:val="Endnote Text Char"/>
    <w:basedOn w:val="DefaultParagraphFont"/>
    <w:link w:val="EndnoteText"/>
    <w:uiPriority w:val="99"/>
    <w:rsid w:val="00502930"/>
    <w:rPr>
      <w:sz w:val="24"/>
      <w:szCs w:val="24"/>
    </w:rPr>
  </w:style>
  <w:style w:type="character" w:styleId="EndnoteReference">
    <w:name w:val="endnote reference"/>
    <w:basedOn w:val="DefaultParagraphFont"/>
    <w:uiPriority w:val="99"/>
    <w:unhideWhenUsed/>
    <w:rsid w:val="00502930"/>
    <w:rPr>
      <w:vertAlign w:val="superscript"/>
    </w:rPr>
  </w:style>
  <w:style w:type="paragraph" w:styleId="NoSpacing">
    <w:name w:val="No Spacing"/>
    <w:uiPriority w:val="1"/>
    <w:qFormat/>
    <w:rsid w:val="00502930"/>
    <w:pPr>
      <w:spacing w:after="0" w:line="240" w:lineRule="auto"/>
    </w:pPr>
  </w:style>
  <w:style w:type="paragraph" w:styleId="Revision">
    <w:name w:val="Revision"/>
    <w:hidden/>
    <w:uiPriority w:val="99"/>
    <w:semiHidden/>
    <w:rsid w:val="00927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cgd.gov.uk/" TargetMode="External"/><Relationship Id="rId12" Type="http://schemas.openxmlformats.org/officeDocument/2006/relationships/hyperlink" Target="http://www.caat.org.uk/media/press-releases/2009-05-29.php" TargetMode="External"/><Relationship Id="rId13" Type="http://schemas.openxmlformats.org/officeDocument/2006/relationships/hyperlink" Target="http://www.oecd.org/dataoecd/23/20/41515077.pdf" TargetMode="External"/><Relationship Id="rId14" Type="http://schemas.openxmlformats.org/officeDocument/2006/relationships/hyperlink" Target="https://www.gov.uk/government/uploads/system/uploads/attachment_data/file/190838/ukef-sovereign-debt-data.pdf" TargetMode="External"/><Relationship Id="rId15" Type="http://schemas.openxmlformats.org/officeDocument/2006/relationships/hyperlink" Target="http://cleanupexports.org.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ecg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6FD985-468F-4744-BA44-CD10C9B3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10729</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Thomasson</dc:creator>
  <cp:lastModifiedBy>Laura Mitchison</cp:lastModifiedBy>
  <cp:revision>2</cp:revision>
  <cp:lastPrinted>2014-06-23T09:26:00Z</cp:lastPrinted>
  <dcterms:created xsi:type="dcterms:W3CDTF">2014-07-13T22:22:00Z</dcterms:created>
  <dcterms:modified xsi:type="dcterms:W3CDTF">2014-07-13T22:22:00Z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id="RPdC5mB5"/&gt;&lt;style id="http://www.zotero.org/styles/chicago-fullnote-bibliography" hasBibliography="1" bibliographyStyleHasBeenSet="0"/&gt;&lt;prefs&gt;&lt;pref name="fieldType" value="Field"/&gt;&lt;pref name="sto</vt:lpwstr>
  </property>
  <property fmtid="{D5CDD505-2E9C-101B-9397-08002B2CF9AE}" pid="3" name="ZOTERO_PREF_2">
    <vt:lpwstr>reReferences" value="true"/&gt;&lt;pref name="automaticJournalAbbreviations" value="true"/&gt;&lt;pref name="noteType" value="1"/&gt;&lt;/prefs&gt;&lt;/data&gt;</vt:lpwstr>
  </property>
</Properties>
</file>